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zz20260801_10q.htm"/>
      <w:bookmarkStart w:id="1" w:name="ksfizz20260801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Quarterly Period Ended August 1,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1-14170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NATIONAL BEVERAGE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2210"/>
        <w:gridCol w:w="3440"/>
      </w:tblGrid>
      <w:tr>
        <w:trPr/>
        <w:tc>
          <w:tcPr>
            <w:tcW w:w="2210" w:type="dxa"/>
            <w:tcBorders/>
            <w:vAlign w:val="center"/>
          </w:tcPr>
          <w:p>
            <w:pPr>
              <w:pStyle w:val="TableContents"/>
              <w:bidi w:val="0"/>
              <w:spacing w:before="0" w:after="283"/>
              <w:jc w:val="center"/>
              <w:rPr>
                <w:u w:val="single"/>
              </w:rPr>
            </w:pPr>
            <w:r>
              <w:rPr>
                <w:u w:val="single"/>
              </w:rPr>
              <w:t>Delaware</w:t>
            </w:r>
          </w:p>
        </w:tc>
        <w:tc>
          <w:tcPr>
            <w:tcW w:w="3440" w:type="dxa"/>
            <w:tcBorders/>
            <w:vAlign w:val="center"/>
          </w:tcPr>
          <w:p>
            <w:pPr>
              <w:pStyle w:val="TableContents"/>
              <w:bidi w:val="0"/>
              <w:spacing w:before="0" w:after="283"/>
              <w:jc w:val="center"/>
              <w:rPr>
                <w:u w:val="single"/>
              </w:rPr>
            </w:pPr>
            <w:r>
              <w:rPr>
                <w:u w:val="single"/>
              </w:rPr>
              <w:t>59-2605822</w:t>
            </w:r>
          </w:p>
        </w:tc>
      </w:tr>
      <w:tr>
        <w:trPr/>
        <w:tc>
          <w:tcPr>
            <w:tcW w:w="2210" w:type="dxa"/>
            <w:tcBorders/>
            <w:vAlign w:val="center"/>
          </w:tcPr>
          <w:p>
            <w:pPr>
              <w:pStyle w:val="TableContents"/>
              <w:bidi w:val="0"/>
              <w:spacing w:before="0" w:after="283"/>
              <w:jc w:val="center"/>
              <w:rPr/>
            </w:pPr>
            <w:r>
              <w:rPr/>
              <w:t>(State of incorporation)</w:t>
            </w:r>
          </w:p>
        </w:tc>
        <w:tc>
          <w:tcPr>
            <w:tcW w:w="3440"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8050 SW Tenth Street, Suite 4000, Fort Lauderdale, FL 33324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(954) 581-0922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3305"/>
        <w:gridCol w:w="1535"/>
        <w:gridCol w:w="3590"/>
      </w:tblGrid>
      <w:tr>
        <w:trPr/>
        <w:tc>
          <w:tcPr>
            <w:tcW w:w="330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53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Symbol(s)</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3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$.01 per share</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FIZZ</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 Accelerated filer ☐ Non-accelerated filer ☐ 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registrant’s common stock outstanding as of September 8, 2026 was 93,615,302.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NATIONAL BEVERAGE CORP.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REPORT ON 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hyperlink w:anchor="part1">
        <w:r>
          <w:rPr>
            <w:rStyle w:val="InternetLink"/>
            <w:rFonts w:ascii="Times New Roman" w:hAnsi="Times New Roman"/>
            <w:b/>
            <w:sz w:val="20"/>
          </w:rPr>
          <w:t>PART I - FINANCIAL INFORMATION</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vAlign w:val="center"/>
          </w:tcPr>
          <w:p>
            <w:pPr>
              <w:pStyle w:val="TableContents"/>
              <w:bidi w:val="0"/>
              <w:spacing w:before="0" w:after="0"/>
              <w:ind w:left="0" w:right="0" w:hanging="0"/>
              <w:jc w:val="left"/>
              <w:rPr/>
            </w:pPr>
            <w:hyperlink w:anchor="item1_balance">
              <w:r>
                <w:rPr>
                  <w:rStyle w:val="InternetLink"/>
                  <w:rFonts w:ascii="Times New Roman;Times;serif" w:hAnsi="Times New Roman;Times;serif"/>
                  <w:caps w:val="false"/>
                  <w:smallCaps w:val="false"/>
                  <w:sz w:val="20"/>
                </w:rPr>
                <w:t>Item 1. Financial Statements (Unaudited)</w:t>
              </w:r>
            </w:hyperlink>
          </w:p>
        </w:tc>
        <w:tc>
          <w:tcPr>
            <w:tcW w:w="42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Page</w:t>
            </w:r>
          </w:p>
        </w:tc>
      </w:tr>
      <w:tr>
        <w:trPr/>
        <w:tc>
          <w:tcPr>
            <w:tcW w:w="97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180" w:right="0" w:hanging="0"/>
              <w:jc w:val="left"/>
              <w:rPr/>
            </w:pPr>
            <w:hyperlink w:anchor="item1_balance">
              <w:r>
                <w:rPr>
                  <w:rStyle w:val="InternetLink"/>
                  <w:rFonts w:ascii="Times New Roman;Times;serif" w:hAnsi="Times New Roman;Times;serif"/>
                  <w:caps w:val="false"/>
                  <w:smallCaps w:val="false"/>
                  <w:sz w:val="20"/>
                </w:rPr>
                <w:t>Condensed Consolidated Balance Sheets as of August 1, 2026 and May 2, 2026</w:t>
              </w:r>
            </w:hyperlink>
          </w:p>
        </w:tc>
        <w:tc>
          <w:tcPr>
            <w:tcW w:w="425" w:type="dxa"/>
            <w:tcBorders/>
            <w:vAlign w:val="center"/>
          </w:tcPr>
          <w:p>
            <w:pPr>
              <w:pStyle w:val="TableContents"/>
              <w:bidi w:val="0"/>
              <w:spacing w:before="0" w:after="0"/>
              <w:ind w:left="0" w:right="0" w:hanging="0"/>
              <w:jc w:val="right"/>
              <w:rPr/>
            </w:pPr>
            <w:hyperlink w:anchor="item1_balance">
              <w:r>
                <w:rPr>
                  <w:rStyle w:val="InternetLink"/>
                  <w:rFonts w:ascii="Times New Roman;Times;serif" w:hAnsi="Times New Roman;Times;serif"/>
                  <w:caps w:val="false"/>
                  <w:smallCaps w:val="false"/>
                  <w:sz w:val="20"/>
                </w:rPr>
                <w:t>3</w:t>
              </w:r>
            </w:hyperlink>
          </w:p>
        </w:tc>
      </w:tr>
      <w:tr>
        <w:trPr/>
        <w:tc>
          <w:tcPr>
            <w:tcW w:w="97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180" w:right="0" w:hanging="0"/>
              <w:jc w:val="left"/>
              <w:rPr/>
            </w:pPr>
            <w:hyperlink w:anchor="income">
              <w:r>
                <w:rPr>
                  <w:rStyle w:val="InternetLink"/>
                  <w:rFonts w:ascii="Times New Roman;Times;serif" w:hAnsi="Times New Roman;Times;serif"/>
                  <w:caps w:val="false"/>
                  <w:smallCaps w:val="false"/>
                  <w:sz w:val="20"/>
                </w:rPr>
                <w:t>Condensed Consolidated Statements of Income for the Three Fiscal Months Ended August 1, 2026 and August 2, 2025</w:t>
              </w:r>
            </w:hyperlink>
          </w:p>
        </w:tc>
        <w:tc>
          <w:tcPr>
            <w:tcW w:w="425"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4</w:t>
              </w:r>
            </w:hyperlink>
          </w:p>
        </w:tc>
      </w:tr>
      <w:tr>
        <w:trPr/>
        <w:tc>
          <w:tcPr>
            <w:tcW w:w="97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180" w:right="0" w:hanging="0"/>
              <w:jc w:val="left"/>
              <w:rPr/>
            </w:pPr>
            <w:hyperlink w:anchor="compinc">
              <w:r>
                <w:rPr>
                  <w:rStyle w:val="InternetLink"/>
                  <w:rFonts w:ascii="Times New Roman;Times;serif" w:hAnsi="Times New Roman;Times;serif"/>
                  <w:caps w:val="false"/>
                  <w:smallCaps w:val="false"/>
                  <w:sz w:val="20"/>
                </w:rPr>
                <w:t>Condensed Consolidated Statements of Comprehensive Income for the Three Fiscal Months Ended August 1, 2026 and August 2, 2025</w:t>
              </w:r>
            </w:hyperlink>
          </w:p>
        </w:tc>
        <w:tc>
          <w:tcPr>
            <w:tcW w:w="425"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5</w:t>
              </w:r>
            </w:hyperlink>
          </w:p>
        </w:tc>
      </w:tr>
      <w:tr>
        <w:trPr/>
        <w:tc>
          <w:tcPr>
            <w:tcW w:w="97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180" w:right="0" w:hanging="0"/>
              <w:jc w:val="left"/>
              <w:rPr/>
            </w:pPr>
            <w:hyperlink w:anchor="equity">
              <w:r>
                <w:rPr>
                  <w:rStyle w:val="InternetLink"/>
                  <w:rFonts w:ascii="Times New Roman;Times;serif" w:hAnsi="Times New Roman;Times;serif"/>
                  <w:caps w:val="false"/>
                  <w:smallCaps w:val="false"/>
                  <w:sz w:val="20"/>
                </w:rPr>
                <w:t>Condensed Consolidated Statements of Shareholders’ Equity for the Three Fiscal Months Ended August 1, 2026 and August 2, 2025</w:t>
              </w:r>
            </w:hyperlink>
          </w:p>
        </w:tc>
        <w:tc>
          <w:tcPr>
            <w:tcW w:w="425" w:type="dxa"/>
            <w:tcBorders/>
            <w:vAlign w:val="center"/>
          </w:tcPr>
          <w:p>
            <w:pPr>
              <w:pStyle w:val="TableContents"/>
              <w:bidi w:val="0"/>
              <w:spacing w:before="0" w:after="0"/>
              <w:ind w:left="0" w:right="0" w:hanging="0"/>
              <w:jc w:val="right"/>
              <w:rPr/>
            </w:pPr>
            <w:hyperlink w:anchor="equity">
              <w:r>
                <w:rPr>
                  <w:rStyle w:val="InternetLink"/>
                  <w:rFonts w:ascii="Times New Roman;Times;serif" w:hAnsi="Times New Roman;Times;serif"/>
                  <w:caps w:val="false"/>
                  <w:smallCaps w:val="false"/>
                  <w:sz w:val="20"/>
                </w:rPr>
                <w:t>6</w:t>
              </w:r>
            </w:hyperlink>
          </w:p>
        </w:tc>
      </w:tr>
      <w:tr>
        <w:trPr/>
        <w:tc>
          <w:tcPr>
            <w:tcW w:w="97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180" w:right="0" w:hanging="0"/>
              <w:jc w:val="left"/>
              <w:rPr/>
            </w:pPr>
            <w:hyperlink w:anchor="cash">
              <w:r>
                <w:rPr>
                  <w:rStyle w:val="InternetLink"/>
                  <w:rFonts w:ascii="Times New Roman;Times;serif" w:hAnsi="Times New Roman;Times;serif"/>
                  <w:caps w:val="false"/>
                  <w:smallCaps w:val="false"/>
                  <w:sz w:val="20"/>
                </w:rPr>
                <w:t>Condensed Consolidated Statements of Cash Flows for the Three Fiscal Months Ended August 1, 2026 and August 2, 2025</w:t>
              </w:r>
            </w:hyperlink>
          </w:p>
        </w:tc>
        <w:tc>
          <w:tcPr>
            <w:tcW w:w="425" w:type="dxa"/>
            <w:tcBorders/>
            <w:vAlign w:val="center"/>
          </w:tcPr>
          <w:p>
            <w:pPr>
              <w:pStyle w:val="TableContents"/>
              <w:bidi w:val="0"/>
              <w:spacing w:before="0" w:after="0"/>
              <w:ind w:left="0" w:right="0" w:hanging="0"/>
              <w:jc w:val="right"/>
              <w:rPr/>
            </w:pPr>
            <w:hyperlink w:anchor="cash">
              <w:r>
                <w:rPr>
                  <w:rStyle w:val="InternetLink"/>
                  <w:rFonts w:ascii="Times New Roman;Times;serif" w:hAnsi="Times New Roman;Times;serif"/>
                  <w:caps w:val="false"/>
                  <w:smallCaps w:val="false"/>
                  <w:sz w:val="20"/>
                </w:rPr>
                <w:t>7</w:t>
              </w:r>
            </w:hyperlink>
          </w:p>
        </w:tc>
      </w:tr>
      <w:tr>
        <w:trPr/>
        <w:tc>
          <w:tcPr>
            <w:tcW w:w="97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180" w:right="0" w:hanging="0"/>
              <w:jc w:val="left"/>
              <w:rPr/>
            </w:pPr>
            <w:hyperlink w:anchor="notes">
              <w:r>
                <w:rPr>
                  <w:rStyle w:val="InternetLink"/>
                  <w:rFonts w:ascii="Times New Roman;Times;serif" w:hAnsi="Times New Roman;Times;serif"/>
                  <w:caps w:val="false"/>
                  <w:smallCaps w:val="false"/>
                  <w:sz w:val="20"/>
                </w:rPr>
                <w:t>Notes to Condensed Consolidated Financial Statements</w:t>
              </w:r>
            </w:hyperlink>
          </w:p>
        </w:tc>
        <w:tc>
          <w:tcPr>
            <w:tcW w:w="425"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8</w:t>
              </w:r>
            </w:hyperlink>
          </w:p>
        </w:tc>
      </w:tr>
      <w:tr>
        <w:trPr/>
        <w:tc>
          <w:tcPr>
            <w:tcW w:w="97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25" w:type="dxa"/>
            <w:tcBorders/>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9780"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caps w:val="false"/>
                  <w:smallCaps w:val="false"/>
                  <w:sz w:val="20"/>
                </w:rPr>
                <w:t>Item 2. Management’s Discussion and Analysis of Financial Conditionand Results of Operations</w:t>
              </w:r>
            </w:hyperlink>
          </w:p>
        </w:tc>
        <w:tc>
          <w:tcPr>
            <w:tcW w:w="425"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caps w:val="false"/>
                  <w:smallCaps w:val="false"/>
                  <w:sz w:val="20"/>
                </w:rPr>
                <w:t>13</w:t>
              </w:r>
            </w:hyperlink>
          </w:p>
        </w:tc>
      </w:tr>
      <w:tr>
        <w:trPr/>
        <w:tc>
          <w:tcPr>
            <w:tcW w:w="97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caps w:val="false"/>
                  <w:smallCaps w:val="false"/>
                  <w:sz w:val="20"/>
                </w:rPr>
                <w:t>Item 3. Quantitative and Qualitative Disclosures about Market Risk</w:t>
              </w:r>
            </w:hyperlink>
          </w:p>
        </w:tc>
        <w:tc>
          <w:tcPr>
            <w:tcW w:w="42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caps w:val="false"/>
                  <w:smallCaps w:val="false"/>
                  <w:sz w:val="20"/>
                </w:rPr>
                <w:t>15</w:t>
              </w:r>
            </w:hyperlink>
          </w:p>
        </w:tc>
      </w:tr>
      <w:tr>
        <w:trPr/>
        <w:tc>
          <w:tcPr>
            <w:tcW w:w="97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97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caps w:val="false"/>
                  <w:smallCaps w:val="false"/>
                  <w:sz w:val="20"/>
                </w:rPr>
                <w:t>Item 4. Controls and Procedures</w:t>
              </w:r>
            </w:hyperlink>
          </w:p>
        </w:tc>
        <w:tc>
          <w:tcPr>
            <w:tcW w:w="42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caps w:val="false"/>
                  <w:smallCaps w:val="false"/>
                  <w:sz w:val="20"/>
                </w:rPr>
                <w:t>15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hyperlink w:anchor="part2">
        <w:r>
          <w:rPr>
            <w:rStyle w:val="InternetLink"/>
            <w:rFonts w:ascii="Times New Roman" w:hAnsi="Times New Roman"/>
            <w:b/>
            <w:sz w:val="20"/>
          </w:rPr>
          <w:t>PART II - OTHER INFORMATION</w:t>
        </w:r>
      </w:hyperlink>
    </w:p>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2090"/>
        <w:gridCol w:w="245"/>
      </w:tblGrid>
      <w:tr>
        <w:trPr/>
        <w:tc>
          <w:tcPr>
            <w:tcW w:w="2090" w:type="dxa"/>
            <w:tcBorders/>
            <w:vAlign w:val="center"/>
          </w:tcPr>
          <w:p>
            <w:pPr>
              <w:pStyle w:val="TableContents"/>
              <w:bidi w:val="0"/>
              <w:spacing w:before="0" w:after="0"/>
              <w:ind w:left="0" w:right="0" w:hanging="0"/>
              <w:jc w:val="left"/>
              <w:rPr/>
            </w:pPr>
            <w:hyperlink w:anchor="p2i1a">
              <w:r>
                <w:rPr>
                  <w:rStyle w:val="InternetLink"/>
                  <w:rFonts w:ascii="Times New Roman;Times;serif" w:hAnsi="Times New Roman;Times;serif"/>
                  <w:caps w:val="false"/>
                  <w:smallCaps w:val="false"/>
                  <w:sz w:val="20"/>
                </w:rPr>
                <w:t>Item 1A. Risk Factors</w:t>
              </w:r>
            </w:hyperlink>
          </w:p>
        </w:tc>
        <w:tc>
          <w:tcPr>
            <w:tcW w:w="245" w:type="dxa"/>
            <w:tcBorders/>
            <w:vAlign w:val="center"/>
          </w:tcPr>
          <w:p>
            <w:pPr>
              <w:pStyle w:val="TableContents"/>
              <w:bidi w:val="0"/>
              <w:spacing w:before="0" w:after="0"/>
              <w:ind w:left="0" w:right="0" w:hanging="0"/>
              <w:jc w:val="right"/>
              <w:rPr/>
            </w:pPr>
            <w:hyperlink w:anchor="p2i1a">
              <w:r>
                <w:rPr>
                  <w:rStyle w:val="InternetLink"/>
                  <w:rFonts w:ascii="Times New Roman;Times;serif" w:hAnsi="Times New Roman;Times;serif"/>
                  <w:caps w:val="false"/>
                  <w:smallCaps w:val="false"/>
                  <w:sz w:val="20"/>
                </w:rPr>
                <w:t>17</w:t>
              </w:r>
            </w:hyperlink>
          </w:p>
        </w:tc>
      </w:tr>
      <w:tr>
        <w:trPr/>
        <w:tc>
          <w:tcPr>
            <w:tcW w:w="20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209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caps w:val="false"/>
                  <w:smallCaps w:val="false"/>
                  <w:sz w:val="20"/>
                </w:rPr>
                <w:t>Item 5. Other Information</w:t>
              </w:r>
            </w:hyperlink>
          </w:p>
        </w:tc>
        <w:tc>
          <w:tcPr>
            <w:tcW w:w="24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caps w:val="false"/>
                  <w:smallCaps w:val="false"/>
                  <w:sz w:val="20"/>
                </w:rPr>
                <w:t>17</w:t>
              </w:r>
            </w:hyperlink>
          </w:p>
        </w:tc>
      </w:tr>
      <w:tr>
        <w:trPr/>
        <w:tc>
          <w:tcPr>
            <w:tcW w:w="20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209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caps w:val="false"/>
                  <w:smallCaps w:val="false"/>
                  <w:sz w:val="20"/>
                </w:rPr>
                <w:t>Item 6. Exhibits</w:t>
              </w:r>
            </w:hyperlink>
          </w:p>
        </w:tc>
        <w:tc>
          <w:tcPr>
            <w:tcW w:w="24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caps w:val="false"/>
                  <w:smallCaps w:val="false"/>
                  <w:sz w:val="20"/>
                </w:rPr>
                <w:t>17</w:t>
              </w:r>
            </w:hyperlink>
          </w:p>
        </w:tc>
      </w:tr>
      <w:tr>
        <w:trPr/>
        <w:tc>
          <w:tcPr>
            <w:tcW w:w="20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2090" w:type="dxa"/>
            <w:tcBorders/>
            <w:vAlign w:val="center"/>
          </w:tcPr>
          <w:p>
            <w:pPr>
              <w:pStyle w:val="TableContents"/>
              <w:bidi w:val="0"/>
              <w:spacing w:before="0" w:after="0"/>
              <w:ind w:left="0" w:right="0" w:hanging="0"/>
              <w:jc w:val="both"/>
              <w:rPr/>
            </w:pPr>
            <w:hyperlink w:anchor="sigs">
              <w:r>
                <w:rPr>
                  <w:rStyle w:val="InternetLink"/>
                  <w:rFonts w:ascii="Times New Roman;Times;serif" w:hAnsi="Times New Roman;Times;serif"/>
                  <w:caps w:val="false"/>
                  <w:smallCaps w:val="false"/>
                  <w:sz w:val="20"/>
                </w:rPr>
                <w:t>Signature</w:t>
              </w:r>
            </w:hyperlink>
          </w:p>
        </w:tc>
        <w:tc>
          <w:tcPr>
            <w:tcW w:w="245"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18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pPr>
      <w:bookmarkStart w:id="3" w:name="part1"/>
      <w:bookmarkEnd w:id="3"/>
      <w:r>
        <w:rPr/>
        <w:t> </w:t>
      </w:r>
      <w:r>
        <w:rPr>
          <w:rFonts w:ascii="Times New Roman" w:hAnsi="Times New Roman"/>
          <w:b/>
          <w:sz w:val="20"/>
        </w:rPr>
        <w:t>PART I - FINANCIAL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bookmarkStart w:id="4" w:name="item1_balance"/>
      <w:bookmarkEnd w:id="4"/>
      <w:r>
        <w:rPr>
          <w:rFonts w:ascii="Times New Roman" w:hAnsi="Times New Roman"/>
          <w:b/>
          <w:sz w:val="20"/>
        </w:rPr>
        <w:t>ITEM 1.</w:t>
      </w:r>
      <w:r>
        <w:rPr>
          <w:rFonts w:ascii="Times New Roman" w:hAnsi="Times New Roman"/>
          <w:sz w:val="20"/>
        </w:rPr>
        <w:t>   </w:t>
      </w:r>
      <w:r>
        <w:rPr>
          <w:rFonts w:ascii="Times New Roman" w:hAnsi="Times New Roman"/>
          <w:b/>
          <w:sz w:val="20"/>
        </w:rPr>
        <w:t>FINANCIAL STATEMENTS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CONDENSED CONSOLIDATED BALANCE SHEETS (UNAUDITED)</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 except share data)</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2,</w:t>
            </w:r>
          </w:p>
        </w:tc>
        <w:tc>
          <w:tcPr>
            <w:tcW w:w="80" w:type="dxa"/>
            <w:tcBorders/>
            <w:vAlign w:val="center"/>
          </w:tcPr>
          <w:p>
            <w:pPr>
              <w:pStyle w:val="TableContents"/>
              <w:bidi w:val="0"/>
              <w:spacing w:before="0" w:after="283"/>
              <w:jc w:val="left"/>
              <w:rPr/>
            </w:pPr>
            <w:r>
              <w:rPr/>
              <w:t> </w:t>
            </w:r>
          </w:p>
        </w:tc>
      </w:tr>
      <w:tr>
        <w:trPr/>
        <w:tc>
          <w:tcPr>
            <w:tcW w:w="8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349,543</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receivables,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104,301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95,520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43,695</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593,059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182,160</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56,698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13,145</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851,647</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87,449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33,308</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14,457</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135,214</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29,188</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215,933</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- 1,000,000 shares authorized Series C - 150,000 shares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$.01 par value - 200,000,000 shares authorized; 102,009,414 and 102,006,214 shares issued,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44,398</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601,398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13,654</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C preferred stock - 150,000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- 8,394,112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635,714</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851,647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5" w:name="income"/>
      <w:bookmarkEnd w:id="5"/>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CONDENSED CONSOLIDATED STATEMENTS OF INCOME (UNAUDITED)</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 except per share amounts)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232" w:type="dxa"/>
        <w:jc w:val="left"/>
        <w:tblInd w:w="0" w:type="dxa"/>
        <w:tblLayout w:type="fixed"/>
        <w:tblCellMar>
          <w:top w:w="0" w:type="dxa"/>
          <w:left w:w="0" w:type="dxa"/>
          <w:bottom w:w="0" w:type="dxa"/>
          <w:right w:w="0" w:type="dxa"/>
        </w:tblCellMar>
      </w:tblPr>
      <w:tblGrid>
        <w:gridCol w:w="3860"/>
        <w:gridCol w:w="60"/>
        <w:gridCol w:w="160"/>
        <w:gridCol w:w="890"/>
        <w:gridCol w:w="76"/>
        <w:gridCol w:w="76"/>
        <w:gridCol w:w="160"/>
        <w:gridCol w:w="890"/>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Fiscal Months Ended</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2,</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330,662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330,515</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214,872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205,052</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115,790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125,463</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57,310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54,687</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58,480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70,776</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61,664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73,013</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17,253</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55,760</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93,613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93,620</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93,660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6" w:name="compinc"/>
      <w:bookmarkEnd w:id="6"/>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CONDENSED CONSOLIDATED STATEMENTS OF COMPREHENSIVE INCOME (UNAUDITED)</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157" w:type="dxa"/>
        <w:jc w:val="left"/>
        <w:tblInd w:w="0" w:type="dxa"/>
        <w:tblLayout w:type="fixed"/>
        <w:tblCellMar>
          <w:top w:w="0" w:type="dxa"/>
          <w:left w:w="0" w:type="dxa"/>
          <w:bottom w:w="0" w:type="dxa"/>
          <w:right w:w="0" w:type="dxa"/>
        </w:tblCellMar>
      </w:tblPr>
      <w:tblGrid>
        <w:gridCol w:w="3785"/>
        <w:gridCol w:w="60"/>
        <w:gridCol w:w="172"/>
        <w:gridCol w:w="899"/>
        <w:gridCol w:w="110"/>
        <w:gridCol w:w="83"/>
        <w:gridCol w:w="172"/>
        <w:gridCol w:w="816"/>
        <w:gridCol w:w="60"/>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Fiscal Months Ended</w:t>
            </w:r>
          </w:p>
        </w:tc>
        <w:tc>
          <w:tcPr>
            <w:tcW w:w="6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w:t>
            </w:r>
          </w:p>
        </w:tc>
        <w:tc>
          <w:tcPr>
            <w:tcW w:w="11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98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2,</w:t>
            </w:r>
          </w:p>
        </w:tc>
        <w:tc>
          <w:tcPr>
            <w:tcW w:w="6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1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47,004</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55,760</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 net of tax:</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(10,878</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36,126</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7" w:name="equity"/>
      <w:bookmarkEnd w:id="7"/>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CONDENSED CONSOLIDATED STATEMENTS OF SHAREHOLDERS' EQUITY (UNAUDITED)</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w:t>
      </w:r>
    </w:p>
    <w:p>
      <w:pPr>
        <w:pStyle w:val="HorizontalLine"/>
        <w:pBdr>
          <w:bottom w:val="double" w:sz="2" w:space="0" w:color="808080"/>
        </w:pBdr>
        <w:bidi w:val="0"/>
        <w:spacing w:before="0" w:after="283"/>
        <w:jc w:val="left"/>
        <w:rPr/>
      </w:pPr>
      <w:r>
        <w:rPr/>
      </w:r>
    </w:p>
    <w:tbl>
      <w:tblPr>
        <w:tblW w:w="7995" w:type="dxa"/>
        <w:jc w:val="left"/>
        <w:tblInd w:w="0" w:type="dxa"/>
        <w:tblLayout w:type="fixed"/>
        <w:tblCellMar>
          <w:top w:w="0" w:type="dxa"/>
          <w:left w:w="0" w:type="dxa"/>
          <w:bottom w:w="0" w:type="dxa"/>
          <w:right w:w="0" w:type="dxa"/>
        </w:tblCellMar>
      </w:tblPr>
      <w:tblGrid>
        <w:gridCol w:w="4265"/>
        <w:gridCol w:w="60"/>
        <w:gridCol w:w="60"/>
        <w:gridCol w:w="695"/>
        <w:gridCol w:w="60"/>
        <w:gridCol w:w="60"/>
        <w:gridCol w:w="125"/>
        <w:gridCol w:w="755"/>
        <w:gridCol w:w="80"/>
        <w:gridCol w:w="60"/>
        <w:gridCol w:w="60"/>
        <w:gridCol w:w="695"/>
        <w:gridCol w:w="60"/>
        <w:gridCol w:w="60"/>
        <w:gridCol w:w="125"/>
        <w:gridCol w:w="695"/>
        <w:gridCol w:w="80"/>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9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Fiscal Months Ended</w:t>
            </w:r>
          </w:p>
        </w:tc>
        <w:tc>
          <w:tcPr>
            <w:tcW w:w="8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5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2, 2025</w:t>
            </w:r>
          </w:p>
        </w:tc>
        <w:tc>
          <w:tcPr>
            <w:tcW w:w="8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C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and 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43,708</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43,843</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417,750</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55,760</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cash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473,510</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9,843</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 Stock - Series C Preferred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and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 Stock - Common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and 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504,133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8" w:name="cash"/>
      <w:bookmarkEnd w:id="8"/>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CONDENSED CONSOLIDATED STATEMENTS OF CASH FLOWS (UNAUDITED)</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w:t>
      </w:r>
    </w:p>
    <w:p>
      <w:pPr>
        <w:pStyle w:val="HorizontalLine"/>
        <w:pBdr>
          <w:bottom w:val="double" w:sz="2" w:space="0" w:color="808080"/>
        </w:pBdr>
        <w:bidi w:val="0"/>
        <w:spacing w:before="0" w:after="283"/>
        <w:jc w:val="left"/>
        <w:rPr/>
      </w:pPr>
      <w:r>
        <w:rPr/>
      </w:r>
    </w:p>
    <w:tbl>
      <w:tblPr>
        <w:tblW w:w="9013" w:type="dxa"/>
        <w:jc w:val="left"/>
        <w:tblInd w:w="0" w:type="dxa"/>
        <w:tblLayout w:type="fixed"/>
        <w:tblCellMar>
          <w:top w:w="0" w:type="dxa"/>
          <w:left w:w="0" w:type="dxa"/>
          <w:bottom w:w="0" w:type="dxa"/>
          <w:right w:w="0" w:type="dxa"/>
        </w:tblCellMar>
      </w:tblPr>
      <w:tblGrid>
        <w:gridCol w:w="6620"/>
        <w:gridCol w:w="60"/>
        <w:gridCol w:w="153"/>
        <w:gridCol w:w="925"/>
        <w:gridCol w:w="98"/>
        <w:gridCol w:w="73"/>
        <w:gridCol w:w="153"/>
        <w:gridCol w:w="851"/>
        <w:gridCol w:w="8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Fiscal Months Ended</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2,</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47,004</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55,760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6,322</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3,945</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receivables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16,392</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6,287</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(4,073</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64,850</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59,089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on common stock</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(304,249</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stock options exercised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(304,224</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(242,445</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55,996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349,543</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193,835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107,098</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Non-Cash Activities: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NATIONAL BEVERAGE CORP. 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develops, produces, markets and sells a distinctive portfolio of sparkling waters, juices, energy drinks and carbonated soft drinks primarily in the United States. Incorporated in Delaware in 1985, National Beverage Corp. is a holding company for various operating subsidiaries. When used in this report, the terms “we,” “us,” “our,” “Company” and “National Beverage” mean National Beverage Corp.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condensed consolidated financial statements include the accounts of National Beverage Corp. and its subsidiaries. All significant intercompany transactions and accounts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interim unaudited condensed consolidated financial statements have been prepared in accordance with United States Generally Accepted Accounting Principles and rules and regulations of the Securities and Exchange Commission for interim financial reporting.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information and notes presented in the annual consolidated financial statements. The condensed consolidated financial statements should be read in conjunction with the annual consolidated financial statements and accompanying notes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fiscal year ended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The accounting policies used in these interim unaudited condensed consolidated financial statements are consistent with those used in the annual consolidated financial statements.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Segment Reporting</w:t>
      </w:r>
    </w:p>
    <w:p>
      <w:pPr>
        <w:pStyle w:val="TextBody"/>
        <w:bidi w:val="0"/>
        <w:spacing w:before="0" w:after="0"/>
        <w:ind w:left="0" w:right="0" w:hanging="0"/>
        <w:jc w:val="both"/>
        <w:rPr/>
      </w:pPr>
      <w:r>
        <w:rPr>
          <w:rFonts w:ascii="Times New Roman" w:hAnsi="Times New Roman"/>
          <w:caps w:val="false"/>
          <w:smallCaps w:val="false"/>
          <w:sz w:val="20"/>
        </w:rPr>
        <w:t xml:space="preserve">The Company operates as a single operating segment for purposes of presenting financial information and evaluating performance. As such, the accompanying consolidated financial statements present financial information in a format that is consistent with the internal financial information used by management. See Note </w:t>
      </w:r>
      <w:r>
        <w:rPr>
          <w:rStyle w:val="Emphasis"/>
          <w:rFonts w:ascii="Times New Roman" w:hAnsi="Times New Roman"/>
          <w:caps w:val="false"/>
          <w:smallCaps w:val="false"/>
          <w:sz w:val="20"/>
        </w:rPr>
        <w:t>7</w:t>
      </w:r>
      <w:r>
        <w:rPr>
          <w:rFonts w:ascii="Times New Roman" w:hAnsi="Times New Roman"/>
          <w:caps w:val="false"/>
          <w:smallCaps w:val="false"/>
          <w:sz w:val="20"/>
        </w:rPr>
        <w:t>-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both"/>
        <w:rPr/>
      </w:pPr>
      <w:r>
        <w:rPr>
          <w:rFonts w:ascii="Times New Roman" w:hAnsi="Times New Roman"/>
          <w:caps w:val="false"/>
          <w:smallCaps w:val="false"/>
          <w:sz w:val="20"/>
        </w:rPr>
        <w:t xml:space="preserve">The preparation of financial statements requires management to make estimates and assumptions that affect the amounts reported in the interim unaudited condensed consolidated financial statements and accompanying notes. Actual results could differ from those estimates. In our opinion, all adjustments (consisting of normal recurring adjustments) considered necessary for a fair presentation have been included. Results for the interim periods presented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which might be expected for the entire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bidi w:val="0"/>
        <w:spacing w:before="0" w:after="0"/>
        <w:ind w:left="0" w:right="0" w:hanging="0"/>
        <w:jc w:val="both"/>
        <w:rPr/>
      </w:pPr>
      <w:r>
        <w:rPr>
          <w:rFonts w:ascii="Times New Roman" w:hAnsi="Times New Roman"/>
          <w:caps w:val="false"/>
          <w:smallCaps w:val="false"/>
          <w:sz w:val="20"/>
        </w:rPr>
        <w:t xml:space="preserve">The carrying values of the Company’s financial instruments, including cash and cash equivalents, accounts receivable, accounts payable and accrued liabilities, approximate fair value due to the relatively short maturity of the respective instruments. As of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cash and cash equivalents included money-market instruments of $56.4 million and $214.3 million, respectively. These financial instruments are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 defined by the fair value hierarchy since they are based on quoted prices in active markets for identical assets and liabilities. Derivative financial instruments which are used to partially mitigate the Company’s exposure to changes in certain raw material costs are recorded at fair value. Derivative financial instruments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used for trading or speculative purposes. Credit risk related to derivative financial instruments is managed by requiring high credit standards for counterparties and frequent cash settlements. The estimated fair values of derivative financial instruments are calculated based on market rates to settle the instruments. See Note </w:t>
      </w:r>
      <w:r>
        <w:rPr>
          <w:rStyle w:val="Emphasis"/>
          <w:rFonts w:ascii="Times New Roman" w:hAnsi="Times New Roman"/>
          <w:caps w:val="false"/>
          <w:smallCaps w:val="false"/>
          <w:sz w:val="20"/>
        </w:rPr>
        <w:t>5</w:t>
      </w:r>
      <w:r>
        <w:rPr>
          <w:rFonts w:ascii="Times New Roman" w:hAnsi="Times New Roman"/>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Trade Receivables, Net</w:t>
      </w:r>
    </w:p>
    <w:p>
      <w:pPr>
        <w:pStyle w:val="TextBody"/>
        <w:bidi w:val="0"/>
        <w:spacing w:before="0" w:after="0"/>
        <w:ind w:left="0" w:right="0" w:hanging="0"/>
        <w:jc w:val="both"/>
        <w:rPr/>
      </w:pPr>
      <w:r>
        <w:rPr>
          <w:rFonts w:ascii="Times New Roman" w:hAnsi="Times New Roman"/>
          <w:caps w:val="false"/>
          <w:smallCaps w:val="false"/>
          <w:sz w:val="20"/>
        </w:rPr>
        <w:t xml:space="preserve">The Company’s estimated allowances for credit losses were $1.2 million as of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Company’s trade receivable, net balances as of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were $106.5 million and $104.2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Inventories </w:t>
      </w:r>
    </w:p>
    <w:p>
      <w:pPr>
        <w:pStyle w:val="TextBody"/>
        <w:bidi w:val="0"/>
        <w:spacing w:before="0" w:after="0"/>
        <w:ind w:left="0" w:right="0" w:hanging="0"/>
        <w:jc w:val="both"/>
        <w:rPr/>
      </w:pPr>
      <w:r>
        <w:rPr>
          <w:rFonts w:ascii="Times New Roman" w:hAnsi="Times New Roman"/>
          <w:caps w:val="false"/>
          <w:smallCaps w:val="false"/>
          <w:sz w:val="20"/>
        </w:rPr>
        <w:t xml:space="preserve">Inventories are stated at the lower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cost or net realizable value. Inventories at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were comprised of finished goods of $65.3 million and raw materials of $35.1 million. Inventories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were comprised of finished goods of $60.4 million and raw materials of $35.1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Shipping and Handling Costs</w:t>
      </w:r>
    </w:p>
    <w:p>
      <w:pPr>
        <w:pStyle w:val="TextBody"/>
        <w:bidi w:val="0"/>
        <w:spacing w:before="0" w:after="0"/>
        <w:ind w:left="0" w:right="0" w:hanging="0"/>
        <w:jc w:val="both"/>
        <w:rPr/>
      </w:pPr>
      <w:r>
        <w:rPr>
          <w:rFonts w:ascii="Times New Roman" w:hAnsi="Times New Roman"/>
          <w:caps w:val="false"/>
          <w:smallCaps w:val="false"/>
          <w:sz w:val="20"/>
        </w:rPr>
        <w:t xml:space="preserve">Shipping and handling costs are reported in selling, general and administrative expenses in the accompanying condensed consolidated statements of income. Such costs were $20.7 million and $19.8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months ended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 xml:space="preserve">respectively. Although our classification is consistent with many beverage companies, our gross margin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comparable to companies that include shipping and handling costs in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Marketing Costs</w:t>
      </w:r>
    </w:p>
    <w:p>
      <w:pPr>
        <w:pStyle w:val="TextBody"/>
        <w:bidi w:val="0"/>
        <w:spacing w:before="0" w:after="0"/>
        <w:ind w:left="0" w:right="0" w:hanging="0"/>
        <w:jc w:val="both"/>
        <w:rPr/>
      </w:pPr>
      <w:r>
        <w:rPr>
          <w:rFonts w:ascii="Times New Roman" w:hAnsi="Times New Roman"/>
          <w:caps w:val="false"/>
          <w:smallCaps w:val="false"/>
          <w:sz w:val="20"/>
        </w:rPr>
        <w:t xml:space="preserve">The Company utilizes a variety of marketing programs, including cooperative advertising programs with customers, to advertise and promote its beverages to consumers. Marketing costs are expensed when incurred, except for prepaid advertising and production costs, which are expensed when the advertising takes place. Marketing costs, which are included in selling, general and administrative expenses, were $14.4 million and $13.6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months ended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Earnings Per Common Share </w:t>
      </w:r>
    </w:p>
    <w:p>
      <w:pPr>
        <w:pStyle w:val="TextBody"/>
        <w:bidi w:val="0"/>
        <w:spacing w:before="0" w:after="0"/>
        <w:ind w:left="0" w:right="0" w:hanging="0"/>
        <w:jc w:val="both"/>
        <w:rPr/>
      </w:pPr>
      <w:r>
        <w:rPr>
          <w:rFonts w:ascii="Times New Roman" w:hAnsi="Times New Roman"/>
          <w:caps w:val="false"/>
          <w:smallCaps w:val="false"/>
          <w:sz w:val="20"/>
        </w:rPr>
        <w:t xml:space="preserve">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 amounting to 47,000 and 79,000 shares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months ended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Recently Issued Accounting Pronouncements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which requires entities to disaggregate operating expenses into specific categories such as employee compensation, depreciation, and intangible asset amortization, by relevant expense caption on the statement of operations. The standard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on either a prospective or retrospective basis. The Company is currently evaluating the impact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adopting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on its annual consolidated financial statements and related disclosures that will be required for the fiscal year ended </w:t>
      </w:r>
      <w:r>
        <w:rPr>
          <w:rStyle w:val="Emphasis"/>
          <w:rFonts w:ascii="Times New Roman" w:hAnsi="Times New Roman"/>
          <w:caps w:val="false"/>
          <w:smallCaps w:val="false"/>
          <w:sz w:val="20"/>
        </w:rPr>
        <w:t>April 29,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which requires disclosure of the election of a practical expedient that assumes that current conditions as of the balance sheet date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for the remaining life of the asset when developing reasonable and supportable forecasts as a part of estimating expected credit losses. The election of the practical expedient is permitted on a prospective basis. The amendment is effective for annual reporting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and interim reporting periods within those annual reporting periods. The Company adopted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effective for Fiscal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on a prospective basis and elected the practical expedient. 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to amend the guidance in “Derivatives and Hedging”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including interim periods within those fiscal years, and adopted on a prospective basis. Early adoption is permitted.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a material impact upon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plant and equipment, net consist of the following:</w:t>
      </w:r>
    </w:p>
    <w:p>
      <w:pPr>
        <w:pStyle w:val="TextBody"/>
        <w:bidi w:val="0"/>
        <w:spacing w:before="0" w:after="0"/>
        <w:ind w:left="0" w:right="0" w:hanging="0"/>
        <w:jc w:val="both"/>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2825"/>
        <w:gridCol w:w="60"/>
        <w:gridCol w:w="125"/>
        <w:gridCol w:w="755"/>
        <w:gridCol w:w="80"/>
        <w:gridCol w:w="60"/>
        <w:gridCol w:w="125"/>
        <w:gridCol w:w="755"/>
        <w:gridCol w:w="80"/>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2,</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9,835</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103,475</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333,975</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447,285</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Machinery and equipment included construction-in-progress in the amounts of $20.2 million and $20.3 million as of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respectively. Depreciation expense was $6.3 million and $5.3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months ended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respectively. Depreciation expense is recorded in cost of sales and 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various non-cancelable operating lease agreements for certain of its offices, buildings, machinery and equipment expiring at various dates through </w:t>
      </w:r>
      <w:r>
        <w:rPr>
          <w:rStyle w:val="Emphasis"/>
          <w:rFonts w:ascii="Times New Roman" w:hAnsi="Times New Roman"/>
          <w:caps w:val="false"/>
          <w:smallCaps w:val="false"/>
          <w:sz w:val="20"/>
        </w:rPr>
        <w:t xml:space="preserve">June 2037. </w:t>
      </w: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assume renewals in the determination of the lease term unless the renewals are deemed to be reasonably assured at lease commencement. Lease agreements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material residual value guarantees or material restrictive covenants. Operating lease costs were $4.6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months ended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the weighted-average remaining lease term and weighted average discount rate of operating leases was 5.24 years and 4.56%, respectively.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weighted-average remaining lease term and weighted average discount rate of operating leases was 5.37 years and 4.58%, respectively. Cash payments were $4.8 million and $4.7 million for operating leases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months ended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future minimum lease payments and related liabilities for all non-cancelable operating leases as of </w:t>
      </w:r>
      <w:r>
        <w:rPr>
          <w:rStyle w:val="Emphasis"/>
          <w:rFonts w:ascii="Times New Roman" w:hAnsi="Times New Roman"/>
          <w:caps w:val="false"/>
          <w:smallCaps w:val="false"/>
          <w:sz w:val="20"/>
        </w:rPr>
        <w:t>August 1, 2026:</w:t>
      </w:r>
    </w:p>
    <w:p>
      <w:pPr>
        <w:pStyle w:val="TextBody"/>
        <w:bidi w:val="0"/>
        <w:spacing w:before="0" w:after="0"/>
        <w:ind w:left="0" w:right="0" w:hanging="0"/>
        <w:jc w:val="left"/>
        <w:rPr>
          <w:caps w:val="false"/>
          <w:smallCaps w:val="false"/>
        </w:rPr>
      </w:pPr>
      <w:r>
        <w:rPr>
          <w:caps w:val="false"/>
          <w:smallCaps w:val="false"/>
        </w:rPr>
        <w:t> </w:t>
      </w:r>
    </w:p>
    <w:tbl>
      <w:tblPr>
        <w:tblW w:w="5354" w:type="dxa"/>
        <w:jc w:val="left"/>
        <w:tblInd w:w="0" w:type="dxa"/>
        <w:tblLayout w:type="fixed"/>
        <w:tblCellMar>
          <w:top w:w="0" w:type="dxa"/>
          <w:left w:w="0" w:type="dxa"/>
          <w:bottom w:w="0" w:type="dxa"/>
          <w:right w:w="0" w:type="dxa"/>
        </w:tblCellMar>
      </w:tblPr>
      <w:tblGrid>
        <w:gridCol w:w="4040"/>
        <w:gridCol w:w="60"/>
        <w:gridCol w:w="189"/>
        <w:gridCol w:w="985"/>
        <w:gridCol w:w="8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 – Remaining 3 quarters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12,819</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2028</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12,777</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2029</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11,652</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2030</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11,096</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2031</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7,710</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10,357</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 including interest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66,411</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amounts representing interest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minimum lease payments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58,771</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 of lease obligations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 of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 subsidiary of the Company maintained unsecured revolving credit facilities with banks aggregating $100 million (the “Credit Facilities”). The Credit Facilities expire from </w:t>
      </w:r>
      <w:r>
        <w:rPr>
          <w:rStyle w:val="Emphasis"/>
          <w:rFonts w:ascii="Times New Roman" w:hAnsi="Times New Roman"/>
          <w:caps w:val="false"/>
          <w:smallCaps w:val="false"/>
          <w:sz w:val="20"/>
        </w:rPr>
        <w:t xml:space="preserve">September 10, 2027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30, 2028 </w:t>
      </w:r>
      <w:r>
        <w:rPr>
          <w:rFonts w:ascii="Times New Roman" w:hAnsi="Times New Roman"/>
          <w:caps w:val="false"/>
          <w:smallCaps w:val="false"/>
          <w:sz w:val="20"/>
        </w:rPr>
        <w:t xml:space="preserve">and any borrowings would currently bear interest at 1.15% above the Secured Overnight Financing Rate (“SOFR”). There were no borrowings outstanding under the Credit Facilities at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$2.7 million of the Credit Facilities was reserved for standby letters of credit and $97.3 million was available for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subsidiary of the Company also maintains an unsecured revolving term loan facility with a national bank aggregating $50 million (the “Loan Facility”). There were no borrowings outstanding under the Loan Facility at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Loan Facility expires </w:t>
      </w:r>
      <w:r>
        <w:rPr>
          <w:rStyle w:val="Emphasis"/>
          <w:rFonts w:ascii="Times New Roman" w:hAnsi="Times New Roman"/>
          <w:caps w:val="false"/>
          <w:smallCaps w:val="false"/>
          <w:sz w:val="20"/>
        </w:rPr>
        <w:t xml:space="preserve">December 31, 2027 </w:t>
      </w:r>
      <w:r>
        <w:rPr>
          <w:rFonts w:ascii="Times New Roman" w:hAnsi="Times New Roman"/>
          <w:caps w:val="false"/>
          <w:smallCaps w:val="false"/>
          <w:sz w:val="20"/>
        </w:rPr>
        <w:t>and borrowings would bear interest at 1.15% above the adjusted daily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Facilities and Loan Facility require the subsidiary to maintain certain financial ratios, including debt to net worth and debt to EBITDA (as defined in the credit agreements) and contain other restrictions,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are expected to have a material effect on its operations or financial position. At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the subsidiary was in compliance with all loan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enter into aluminum swap contracts to partially mitigate our exposure to changes in the cost of aluminum containers. Such financial instruments are designated and accounted for as cash flow hedges. Accordingly, gains or losses attributable to the effective portion of the cash flow hedge are reported in accumulated other comprehensive income (loss) (“AOCI”) and reclassified into cost of sales in the period in which the hedged transaction affects earnings. The ineffective portion of the change in fair value of our cash flow hedges was immaterial. The following summarizes the gains (losses) recognized in the Condensed Consolidated Statements of Income and AOCI:</w:t>
      </w:r>
    </w:p>
    <w:p>
      <w:pPr>
        <w:pStyle w:val="TextBody"/>
        <w:bidi w:val="0"/>
        <w:spacing w:before="0" w:after="0"/>
        <w:ind w:left="0" w:right="0" w:hanging="0"/>
        <w:jc w:val="left"/>
        <w:rPr>
          <w:caps w:val="false"/>
          <w:smallCaps w:val="false"/>
        </w:rPr>
      </w:pPr>
      <w:r>
        <w:rPr>
          <w:caps w:val="false"/>
          <w:smallCaps w:val="false"/>
        </w:rPr>
        <w:t> </w:t>
      </w:r>
    </w:p>
    <w:tbl>
      <w:tblPr>
        <w:tblW w:w="6071" w:type="dxa"/>
        <w:jc w:val="left"/>
        <w:tblInd w:w="0" w:type="dxa"/>
        <w:tblLayout w:type="fixed"/>
        <w:tblCellMar>
          <w:top w:w="0" w:type="dxa"/>
          <w:left w:w="0" w:type="dxa"/>
          <w:bottom w:w="0" w:type="dxa"/>
          <w:right w:w="0" w:type="dxa"/>
        </w:tblCellMar>
      </w:tblPr>
      <w:tblGrid>
        <w:gridCol w:w="3230"/>
        <w:gridCol w:w="60"/>
        <w:gridCol w:w="203"/>
        <w:gridCol w:w="1061"/>
        <w:gridCol w:w="110"/>
        <w:gridCol w:w="83"/>
        <w:gridCol w:w="220"/>
        <w:gridCol w:w="1044"/>
        <w:gridCol w:w="6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21"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Three Fiscal Months Ended</w:t>
            </w:r>
          </w:p>
        </w:tc>
        <w:tc>
          <w:tcPr>
            <w:tcW w:w="6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2026</w:t>
            </w:r>
          </w:p>
        </w:tc>
        <w:tc>
          <w:tcPr>
            <w:tcW w:w="11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2, 2025</w:t>
            </w:r>
          </w:p>
        </w:tc>
        <w:tc>
          <w:tcPr>
            <w:tcW w:w="6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in AOCI:</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(7,660</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10,652</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income tax (benefit) provision</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(5,852</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8,138</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Reclassified from AOCI to cost of sales: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before income taxes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5,104</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income tax provision</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5,026</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3,899</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to AOCI</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the notional amount of our outstanding aluminum swap contracts was $108.2 million and, assuming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commodity prices, $2.3 million of unrealized gain before tax will be reclassified from AOCI and recognized in earnings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notional amount of our outstanding aluminum swap contracts was $129.7 million. The Company’s policy for the maximum length of time for which it hedges exposure to the variability of future cash flows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any legally enforceable master netting arrangements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offset fair value amounts recognized for derivative instruments. As of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the fair value of the derivative asset was $3.2 million, which was included in prepaid and other current assets, and the fair value of the derivative liability was $0.9 million which was included in accrued liabilities.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fair value of the derivative asset was $16.5 million, of which $16.0 million was included in prepaid and other current assets and $0.5 million in other assets. Such valuation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entail a significant amount of judgment and the inputs that are significant to the fair value measurement are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defined by the fair value hierarchy as they are observable market based inputs or unobservable inputs that are corroborated by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a party to a management agreement with Corporate Management Advisors, Inc. (CMA), a corporation owned by our Chairman and Chief Executive Officer. The management agreement provides that the Company will pay CMA an annual base fee equal to one percent of the consolidated net sales of the Company. Management fees to CMA were $3.3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months ended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 2025.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accounts payable included amounts due to CMA of $3.3 million and $3.0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7.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operates as a single operating and reportable segment that encompasses the development, production, marketing and sale of beverages. The Company manages its business on a consolidated basis utilizing vertically integrated production facilities and a centralized supply chain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the Chief Executive Officer and its President (assisted by staff) to be its Chief Operating Decision Maker ("CODM"). The CODM makes operating decisions, allocates resources and assesses financial performance based primarily upon consolidated net sales, operating income and net income as reported in the condensed consolidated statements of income. The CODM also regularly reviews cost of sales, shipping and handling costs, and marketing costs. These costs represent significant segment expenses and are reported elsewhere in the condensed consolidated financial statements. Other segment items include other selling and general administrative costs (primarily consisting of compensation-related and other overhead costs), other income (expense), net which includes interest income and interest expense, and provision for income taxes. Depreciation and amortization expense is reported in the condensed consolidated statements of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the Company's board of directors declared a special cash dividend of $3.25 per share payable to shareholders of record on </w:t>
      </w:r>
      <w:r>
        <w:rPr>
          <w:rStyle w:val="Emphasis"/>
          <w:rFonts w:ascii="Times New Roman" w:hAnsi="Times New Roman"/>
          <w:caps w:val="false"/>
          <w:smallCaps w:val="false"/>
          <w:sz w:val="20"/>
        </w:rPr>
        <w:t xml:space="preserve">July 13, 2026. </w:t>
      </w:r>
      <w:r>
        <w:rPr>
          <w:rFonts w:ascii="Times New Roman" w:hAnsi="Times New Roman"/>
          <w:caps w:val="false"/>
          <w:smallCaps w:val="false"/>
          <w:sz w:val="20"/>
        </w:rPr>
        <w:t xml:space="preserve">The special cash dividend of $304.2 million was paid on </w:t>
      </w:r>
      <w:r>
        <w:rPr>
          <w:rStyle w:val="Emphasis"/>
          <w:rFonts w:ascii="Times New Roman" w:hAnsi="Times New Roman"/>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0" w:name="item2"/>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innovatively refreshes America with a distinctive portfolio of sparkling waters, juices, energy drinks (Power+ Brands) and, to a lesser extent, carbonated soft drinks. We believe our creative product designs, innovative packaging and imaginative flavors, along with our corporate culture and philosophy, make National Beverage unique as a stand-alone entity in the beverage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majority of our brands are geared to the active and health-conscious consumer including sparkling waters, energy drinks and juices. Our portfolio of Power+ Brands includes LaCroix® sparkling water; Clear Fruit® non-carbonated water beverages enhanced with fruit flavor; Rip It® energy drinks and shots; and Everfresh®, Everfresh Premier Varietals™ and Mr. Pure® 100% juice and juice-based products. Additionally, we produce and distribute carbonated soft drinks including Shasta® and Faygo®, iconic brands whose consumer loyalty spans more than 135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than larger competitors who are burdened by legacy production and distribution complexity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Presently, our primary market focus is the United States. Certain of our beverages are also distributed on a limited basis in other countries and options to expand distribution to other regions are being pursued. To service a diverse customer base that includes numerous national retailers, as well as thousands of smaller “up-and-down-the-street” accounts, we utilize a hybrid distribution system consisting of warehouse and direct-store delivery. The warehouse delivery system allows our retail partners to further maximize their assets by utilizing their ability to pick up beverages at our warehouses, further lowering their/our product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results are affected by numerous factors, including fluctuations in the costs of raw materials, supply chain disruptions, holiday and seasonal programming and weather conditions. Beverage sales are seasonal with higher sales volume realized during the summer months when outdoor activities are more prevalent.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Three Fiscal Months Ended August 1, 2026 (first quarter of fiscal 2027) compared to</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Three Fiscal Months Ended August 2, 2025 (first quarter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the first quarter of fiscal 2027 were $330.7 million compared to $330.5 million for the first quarter of fiscal 2026. While average selling price per case increased by 7.1%, a 6.4% decline in case volume resulted in approximately flat sales. Both Power+ Brands and carbonated soft drink brands were impacted by the selling price and volume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for the first quarter of fiscal 2027 was $115.8 million compared to $125.5 million for the first quarter of fiscal 2026. The change in gross profit was primarily due to an increase in packaging and ingredients costs and the change in case volume, partially offset by an increase in average selling price per case. The cost of sales per case increased 12.4%. Gross margin was 35.0% compared to 38.0% for the first quarter of fiscal 2026. Aluminum costs negatively affected gross margin by approximately 600 basis points.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for the first quarter of fiscal 2027 increased $2.6 million to $57.3 million from $54.7 million for the first quarter of fiscal 2026. The increases resulted from higher shipping costs, due primarily to increased fuel costs, and higher marketing costs. As a percentage of net sales, selling, general and administrative expenses increased to 17.3% for the first quarter of fiscal 2027 compared to 16.5% for the first quarter of fiscal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income, net includes interest income of $3.3 million for the first quarter of fiscal 2027 and $2.2 million for the first quarter of fiscal 2026. The increase in interest income is due primarily to higher average invested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effective income tax rate, based upon estimated annual income tax rates, was 23.8% for the first quarter of fiscal 2027 and 23.6% for the first quarter of fiscal 2026. The difference between the effective rate and the federal statutory rate of 21% was primarily due to the effects of state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principal sources of liquidity are its existing cash and cash-equivalents, cash generated from operating activities and borrowing capacity. At August 1, 2026, we maintained the unsecured revolving Credit Facilities and the Loan Facility totaling $150 million, under which no borrowings were outstanding and $2.7 million was reserved for standby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cash position decreased $242.4 million for the first quarter of fiscal 2027 compared to an increase of $56.0 million for the first quarter of fiscal 2026 due primarily to the special cash dividend of $304.2 million paid on 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for the first quarter of fiscal 2027 was $64.9 million compared to $59.1 million for the first quarter of fiscal 2026. For the first quarter of fiscal 2027, cash flow provided by operating activities increased primarily due to a net decrease in working capital, excluding cash, partially offset by the decrease in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reflects capital expenditures of $3.1 million for each of the first quarters ended fiscal 2027 and fiscal 2026. Certain packaging and efficiency improvement projects at our production facilities are in progress and we anticipate fiscal 2027 capital expenditures to be comparable to fiscal 2026 capital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 for the first quarter of fiscal 2027 reflects the payments of a special dividend of $304.2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Position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August 1, 2026, working capital was $190.6 million compared to $457.8 million at May 2, 2026. The current ratio was 2.4 to 1 at August 1, 2026 compared to 4.4 to 1 at May 2, 2026. The change in working capital and current ratio was due primarily to the payment of the $304.2 million cash dividend. Trade receivables increased $1.5 million and days sales outstanding decreased to 29.1 days from 31.9 days. Inventories increased $4.9 million and inventory turns decreased to 7.7 times from 8.2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1" w:name="item3"/>
      <w:bookmarkEnd w:id="11"/>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market risks from those reported in our Annual Report on Form 10-K for the fiscal year ended May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item4"/>
      <w:bookmarkEnd w:id="12"/>
      <w:r>
        <w:rPr>
          <w:rFonts w:ascii="Times New Roman" w:hAnsi="Times New Roman"/>
          <w:b/>
          <w:caps w:val="false"/>
          <w:smallCaps w:val="false"/>
          <w:sz w:val="20"/>
        </w:rPr>
        <w:t xml:space="preserve">ITEM 4.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end of the period covered by this report, we carried out an evaluation, under the supervision and with the participation of the Company’s management, including our Chief Executive Officer and Principal Financial Officer, of the effectiveness of the design and operation of our “disclosure controls and procedures” (as defined in Rule 13a-15(e) of the Securities Exchange Act of 1934). Based upon that evaluation, the Chief Executive Officer and Principal Financial Officer concluded that our disclosure controls and procedures were effective to ensure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Principal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and its representatives may make written or oral statements relating to future events or results relative to our financial, operational and business performance, achievements, objectives and strategies. These statements are “forward-looking” within the meaning of the Private Securities Litigation Reform Act of 1995 and include statements contained in this report and other filings with the Securities and Exchange Commission and in reports to our stockholders. Certain statements including, without limitation, statements containing the words “believes,” “anticipates,” “intends,” “plans,” “expects,” “estimates”, “may,” “will,” “should,” “could,” and similar expressions constitute “forward-looking statements” and involve known and unknown risk, uncertainties and other factors that may cause the actual results, performance or achievements of our Company to be materially different from any future results, performance or achievements expressed or implied by such forward looking statements. Such factors include, but are not limited to, the following: general economic and business conditions, pricing of competitive products, success of new product and flavor introductions, fluctuations in the costs and availability of raw materials and packaging supplies, including effects of tariffs and supply chain interruptions, ability to recover cost increases, labor strikes or work stoppages or other interruptions in the employment of labor, continued retailer support for our products, changes in brand image, consumer demand and preferences and our success in creating products geared toward consumers’ tastes, success in implementing business strategies, changes in business strategy or development plans, technology failures or cyberattacks on our technology systems or our effective response to technology failures or cyberattacks on our customers’, suppliers’ or other third parties’ technology systems, international conflicts, government regulations, taxes or fees imposed on the sale of our products, unfavorable weather conditions, changing weather patterns and natural disasters, climate change or legislative or regulatory responses to such change and other factors referenced in this report, filings with the Securities and Exchange Commission and other reports to our stockholders. We disclaim any obligation to update any such factors or to publicly announce the results of any revisions to any forward-looking statements contained herein to reflect future events or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p2i1a"/>
      <w:bookmarkEnd w:id="14"/>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risk factors from those reported in our Annual Report on Form 10-K for the fiscal year ended May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15" w:name="item5"/>
      <w:bookmarkEnd w:id="15"/>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three fiscal months ended </w:t>
      </w:r>
      <w:r>
        <w:rPr>
          <w:rStyle w:val="Emphasis"/>
          <w:rFonts w:ascii="Times New Roman" w:hAnsi="Times New Roman"/>
          <w:caps w:val="false"/>
          <w:smallCaps w:val="false"/>
          <w:sz w:val="20"/>
        </w:rPr>
        <w:t>August 1, 2026, no</w:t>
      </w:r>
      <w:r>
        <w:rPr>
          <w:rFonts w:ascii="Times New Roman" w:hAnsi="Times New Roman"/>
          <w:caps w:val="false"/>
          <w:smallCaps w:val="false"/>
          <w:sz w:val="20"/>
        </w:rPr>
        <w:t xml:space="preserve"> director or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officer adopted, modified,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(in each case,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item6"/>
      <w:bookmarkEnd w:id="16"/>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
        <w:gridCol w:w="9503"/>
      </w:tblGrid>
      <w:tr>
        <w:trPr/>
        <w:tc>
          <w:tcPr>
            <w:tcW w:w="7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Exhibit No.</w:t>
            </w:r>
          </w:p>
        </w:tc>
        <w:tc>
          <w:tcPr>
            <w:tcW w:w="9503" w:type="dxa"/>
            <w:tcBorders/>
            <w:vAlign w:val="center"/>
          </w:tcPr>
          <w:p>
            <w:pPr>
              <w:pStyle w:val="TableContents"/>
              <w:bidi w:val="0"/>
              <w:spacing w:before="0" w:after="0"/>
              <w:ind w:left="180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Description</w:t>
            </w:r>
          </w:p>
        </w:tc>
      </w:tr>
      <w:tr>
        <w:trPr/>
        <w:tc>
          <w:tcPr>
            <w:tcW w:w="702"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180" w:right="0" w:hanging="0"/>
              <w:jc w:val="both"/>
              <w:rPr>
                <w:caps w:val="false"/>
                <w:smallCaps w:val="false"/>
              </w:rPr>
            </w:pPr>
            <w:r>
              <w:rPr>
                <w:caps w:val="false"/>
                <w:smallCaps w:val="false"/>
              </w:rPr>
              <w:t> </w:t>
            </w:r>
            <w:r>
              <w:rPr>
                <w:rFonts w:ascii="Times New Roman;Times;serif" w:hAnsi="Times New Roman;Times;serif"/>
                <w:caps w:val="false"/>
                <w:smallCaps w:val="false"/>
                <w:sz w:val="20"/>
              </w:rPr>
              <w:t>31.1</w:t>
            </w:r>
          </w:p>
        </w:tc>
        <w:tc>
          <w:tcPr>
            <w:tcW w:w="9503" w:type="dxa"/>
            <w:tcBorders/>
            <w:vAlign w:val="center"/>
          </w:tcPr>
          <w:p>
            <w:pPr>
              <w:pStyle w:val="TableContents"/>
              <w:bidi w:val="0"/>
              <w:spacing w:before="0" w:after="0"/>
              <w:ind w:left="0" w:right="0" w:hanging="0"/>
              <w:jc w:val="both"/>
              <w:rPr/>
            </w:pPr>
            <w:hyperlink w:anchor="ex_1012727.htm">
              <w:r>
                <w:rPr>
                  <w:rStyle w:val="InternetLink"/>
                  <w:rFonts w:ascii="Times New Roman;Times;serif" w:hAnsi="Times New Roman;Times;serif"/>
                  <w:caps w:val="false"/>
                  <w:smallCaps w:val="false"/>
                  <w:sz w:val="20"/>
                </w:rPr>
                <w:t>Certification of Chief Executive Officer pursuant to Section 302 of the Sarbanes-Oxley Act of 2002</w:t>
              </w:r>
            </w:hyperlink>
          </w:p>
        </w:tc>
      </w:tr>
      <w:tr>
        <w:trPr/>
        <w:tc>
          <w:tcPr>
            <w:tcW w:w="702"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180" w:right="0" w:hanging="0"/>
              <w:jc w:val="both"/>
              <w:rPr>
                <w:caps w:val="false"/>
                <w:smallCaps w:val="false"/>
              </w:rPr>
            </w:pPr>
            <w:r>
              <w:rPr>
                <w:caps w:val="false"/>
                <w:smallCaps w:val="false"/>
              </w:rPr>
              <w:t> </w:t>
            </w:r>
            <w:r>
              <w:rPr>
                <w:rFonts w:ascii="Times New Roman;Times;serif" w:hAnsi="Times New Roman;Times;serif"/>
                <w:caps w:val="false"/>
                <w:smallCaps w:val="false"/>
                <w:sz w:val="20"/>
              </w:rPr>
              <w:t>31.2</w:t>
            </w:r>
          </w:p>
        </w:tc>
        <w:tc>
          <w:tcPr>
            <w:tcW w:w="9503" w:type="dxa"/>
            <w:tcBorders/>
            <w:vAlign w:val="center"/>
          </w:tcPr>
          <w:p>
            <w:pPr>
              <w:pStyle w:val="TableContents"/>
              <w:bidi w:val="0"/>
              <w:spacing w:before="0" w:after="0"/>
              <w:ind w:left="0" w:right="0" w:hanging="0"/>
              <w:jc w:val="both"/>
              <w:rPr/>
            </w:pPr>
            <w:hyperlink w:anchor="ex_1012726.htm">
              <w:r>
                <w:rPr>
                  <w:rStyle w:val="InternetLink"/>
                  <w:rFonts w:ascii="Times New Roman;Times;serif" w:hAnsi="Times New Roman;Times;serif"/>
                  <w:caps w:val="false"/>
                  <w:smallCaps w:val="false"/>
                  <w:sz w:val="20"/>
                </w:rPr>
                <w:t>Certification of Principal Financial Officer pursuant to Section 302 of the Sarbanes-Oxley Act of 2002</w:t>
              </w:r>
            </w:hyperlink>
          </w:p>
        </w:tc>
      </w:tr>
      <w:tr>
        <w:trPr/>
        <w:tc>
          <w:tcPr>
            <w:tcW w:w="702"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180" w:right="0" w:hanging="0"/>
              <w:jc w:val="both"/>
              <w:rPr>
                <w:caps w:val="false"/>
                <w:smallCaps w:val="false"/>
              </w:rPr>
            </w:pPr>
            <w:r>
              <w:rPr>
                <w:caps w:val="false"/>
                <w:smallCaps w:val="false"/>
              </w:rPr>
              <w:t> </w:t>
            </w:r>
            <w:r>
              <w:rPr>
                <w:rFonts w:ascii="Times New Roman;Times;serif" w:hAnsi="Times New Roman;Times;serif"/>
                <w:caps w:val="false"/>
                <w:smallCaps w:val="false"/>
                <w:sz w:val="20"/>
              </w:rPr>
              <w:t>32.1</w:t>
            </w:r>
          </w:p>
        </w:tc>
        <w:tc>
          <w:tcPr>
            <w:tcW w:w="9503" w:type="dxa"/>
            <w:tcBorders/>
            <w:vAlign w:val="center"/>
          </w:tcPr>
          <w:p>
            <w:pPr>
              <w:pStyle w:val="TableContents"/>
              <w:bidi w:val="0"/>
              <w:spacing w:before="0" w:after="0"/>
              <w:ind w:left="0" w:right="0" w:hanging="0"/>
              <w:jc w:val="both"/>
              <w:rPr/>
            </w:pPr>
            <w:hyperlink w:anchor="ex_1012725.htm">
              <w:r>
                <w:rPr>
                  <w:rStyle w:val="InternetLink"/>
                  <w:rFonts w:ascii="Times New Roman;Times;serif" w:hAnsi="Times New Roman;Times;serif"/>
                  <w:caps w:val="false"/>
                  <w:smallCaps w:val="false"/>
                  <w:sz w:val="20"/>
                </w:rPr>
                <w:t>Certification of Chief Executive Officer pursuant to Section 906 of the Sarbanes-Oxley Act of 2002</w:t>
              </w:r>
            </w:hyperlink>
          </w:p>
        </w:tc>
      </w:tr>
      <w:tr>
        <w:trPr/>
        <w:tc>
          <w:tcPr>
            <w:tcW w:w="702"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180" w:right="0" w:hanging="0"/>
              <w:jc w:val="both"/>
              <w:rPr>
                <w:caps w:val="false"/>
                <w:smallCaps w:val="false"/>
              </w:rPr>
            </w:pPr>
            <w:r>
              <w:rPr>
                <w:caps w:val="false"/>
                <w:smallCaps w:val="false"/>
              </w:rPr>
              <w:t> </w:t>
            </w:r>
            <w:r>
              <w:rPr>
                <w:rFonts w:ascii="Times New Roman;Times;serif" w:hAnsi="Times New Roman;Times;serif"/>
                <w:caps w:val="false"/>
                <w:smallCaps w:val="false"/>
                <w:sz w:val="20"/>
              </w:rPr>
              <w:t>32.2</w:t>
            </w:r>
          </w:p>
        </w:tc>
        <w:tc>
          <w:tcPr>
            <w:tcW w:w="9503" w:type="dxa"/>
            <w:tcBorders/>
            <w:vAlign w:val="center"/>
          </w:tcPr>
          <w:p>
            <w:pPr>
              <w:pStyle w:val="TableContents"/>
              <w:bidi w:val="0"/>
              <w:spacing w:before="0" w:after="0"/>
              <w:ind w:left="0" w:right="0" w:hanging="0"/>
              <w:jc w:val="both"/>
              <w:rPr/>
            </w:pPr>
            <w:hyperlink w:anchor="ex_1012724.htm">
              <w:r>
                <w:rPr>
                  <w:rStyle w:val="InternetLink"/>
                  <w:rFonts w:ascii="Times New Roman;Times;serif" w:hAnsi="Times New Roman;Times;serif"/>
                  <w:caps w:val="false"/>
                  <w:smallCaps w:val="false"/>
                  <w:sz w:val="20"/>
                </w:rPr>
                <w:t>Certification of Principal Financial Officer pursuant to Section 906 of the Sarbanes-Oxley Act of 2002</w:t>
              </w:r>
            </w:hyperlink>
          </w:p>
        </w:tc>
      </w:tr>
      <w:tr>
        <w:trPr/>
        <w:tc>
          <w:tcPr>
            <w:tcW w:w="702"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180" w:right="0" w:hanging="0"/>
              <w:jc w:val="both"/>
              <w:rPr>
                <w:caps w:val="false"/>
                <w:smallCaps w:val="false"/>
              </w:rPr>
            </w:pPr>
            <w:r>
              <w:rPr>
                <w:caps w:val="false"/>
                <w:smallCaps w:val="false"/>
              </w:rPr>
              <w:t> </w:t>
            </w:r>
            <w:r>
              <w:rPr>
                <w:rFonts w:ascii="Times New Roman;Times;serif" w:hAnsi="Times New Roman;Times;serif"/>
                <w:caps w:val="false"/>
                <w:smallCaps w:val="false"/>
                <w:sz w:val="20"/>
              </w:rPr>
              <w:t>101</w:t>
            </w:r>
          </w:p>
        </w:tc>
        <w:tc>
          <w:tcPr>
            <w:tcW w:w="95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financial information from National Beverage Corp. Quarterly Report on Form 10-Q for the quarterly period ended August 1, 2026, formatted in iXBRL (Inline eXtensible Business Reporting Language): (i) Condensed Consolidated Balance Sheets (Unaudited); (ii) Condensed Consolidated Statements of Income (Unaudited); (iii) Condensed Consolidated Statements of Comprehensive Income (Unaudited); (iv) Condensed Consolidated Statements of Shareholders’ Equity (Unaudited); (v) Condensed Consolidated Statements of Cash Flows (Unaudited); and (vi) the Notes to Condensed Consolidated Financial Statements (Unaudited).</w:t>
            </w:r>
          </w:p>
        </w:tc>
      </w:tr>
      <w:tr>
        <w:trPr/>
        <w:tc>
          <w:tcPr>
            <w:tcW w:w="702" w:type="dxa"/>
            <w:tcBorders/>
            <w:vAlign w:val="center"/>
          </w:tcPr>
          <w:p>
            <w:pPr>
              <w:pStyle w:val="TableContents"/>
              <w:bidi w:val="0"/>
              <w:spacing w:before="0" w:after="283"/>
              <w:jc w:val="left"/>
              <w:rPr/>
            </w:pPr>
            <w:r>
              <w:rPr/>
              <w:t> </w:t>
            </w:r>
          </w:p>
        </w:tc>
        <w:tc>
          <w:tcPr>
            <w:tcW w:w="9503"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180" w:right="0" w:hanging="0"/>
              <w:jc w:val="both"/>
              <w:rPr>
                <w:caps w:val="false"/>
                <w:smallCaps w:val="false"/>
              </w:rPr>
            </w:pPr>
            <w:r>
              <w:rPr>
                <w:caps w:val="false"/>
                <w:smallCaps w:val="false"/>
              </w:rPr>
              <w:t> </w:t>
            </w:r>
            <w:r>
              <w:rPr>
                <w:rFonts w:ascii="Times New Roman;Times;serif" w:hAnsi="Times New Roman;Times;serif"/>
                <w:caps w:val="false"/>
                <w:smallCaps w:val="false"/>
                <w:sz w:val="20"/>
              </w:rPr>
              <w:t>104</w:t>
            </w:r>
          </w:p>
        </w:tc>
        <w:tc>
          <w:tcPr>
            <w:tcW w:w="95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7" w:name="sigs"/>
      <w:bookmarkEnd w:id="17"/>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September 10, 2026</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60"/>
        <w:gridCol w:w="3395"/>
      </w:tblGrid>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National Beverage Corp.</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(Registrant)</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xml:space="preserve">By: </w:t>
            </w:r>
            <w:r>
              <w:rPr>
                <w:u w:val="single"/>
              </w:rPr>
              <w:t>/s/ George R. Bracken</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George R. Bracken</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Executive Vice President – Finance</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18 </w:t>
      </w:r>
    </w:p>
    <w:p>
      <w:pPr>
        <w:pStyle w:val="TextBody"/>
        <w:bidi w:val="0"/>
        <w:spacing w:before="0" w:after="0"/>
        <w:ind w:left="0" w:right="0" w:hanging="0"/>
        <w:jc w:val="right"/>
        <w:rPr>
          <w:rFonts w:ascii="Times New Roman" w:hAnsi="Times New Roman"/>
          <w:b/>
          <w:caps w:val="false"/>
          <w:smallCaps w:val="false"/>
          <w:sz w:val="20"/>
        </w:rPr>
      </w:pPr>
      <w:bookmarkStart w:id="18" w:name="ex_1012727.htm"/>
      <w:bookmarkStart w:id="19" w:name="ksex_1012727"/>
      <w:bookmarkEnd w:id="18"/>
      <w:bookmarkEnd w:id="19"/>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Nick A. Caporella, certify that:</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70"/>
        <w:gridCol w:w="64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National Beverage Corp.;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 Nick A. Caporella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Nick A. Caporella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Board and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0" w:name="ex_1012726.htm"/>
      <w:bookmarkStart w:id="21" w:name="ksex_1012726"/>
      <w:bookmarkEnd w:id="20"/>
      <w:bookmarkEnd w:id="21"/>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George R. Bracken, certify that:</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70"/>
        <w:gridCol w:w="64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National Beverage Corp.;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 George R. Bracken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2" w:name="ex_1012725.htm"/>
      <w:bookmarkStart w:id="23" w:name="ksex_1012725"/>
      <w:bookmarkEnd w:id="22"/>
      <w:bookmarkEnd w:id="2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National Beverage Corp. (the “Company”) on Form 10-Q for the period ended August 1, 2026 as filed with the Securities and Exchange Commission on the date hereof (the “Report”), I, Nick A. Caporella, Chairman of the Board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Date: 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 Nick A. Caporella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Nick A. Caporella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1012724.htm"/>
      <w:bookmarkStart w:id="25" w:name="ksex_1012724"/>
      <w:bookmarkEnd w:id="24"/>
      <w:bookmarkEnd w:id="25"/>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National Beverage Corp. (the “Company”) on Form 10-Q for the period ended August 1, 2026 as filed with the Securities and Exchange Commission on the date hereof (the “Report”), I, George R. Bracken, Executive Vice President - Finance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Date: 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s/ George R. Bracken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7170</Words>
  <Characters>40573</Characters>
  <CharactersWithSpaces>48705</CharactersWithSpaces>
  <Paragraphs>2426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