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left="3920" w:right="2320" w:hanging="1597"/>
        <w:spacing w:after="0" w:line="261" w:lineRule="auto"/>
        <w:tabs>
          <w:tab w:leader="none" w:pos="253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August 2, 2025</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jc w:val="center"/>
        <w:ind w:left="4400" w:right="2300" w:hanging="2099"/>
        <w:spacing w:after="0" w:line="490" w:lineRule="auto"/>
        <w:tabs>
          <w:tab w:leader="none" w:pos="2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1-14170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NATIONAL BEVERAGE CORP.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22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59-2605822</w:t>
            </w:r>
          </w:p>
        </w:tc>
        <w:tc>
          <w:tcPr>
            <w:tcW w:w="860" w:type="dxa"/>
            <w:vAlign w:val="bottom"/>
          </w:tcPr>
          <w:p>
            <w:pPr>
              <w:spacing w:after="0"/>
              <w:rPr>
                <w:sz w:val="17"/>
                <w:szCs w:val="17"/>
                <w:color w:val="auto"/>
              </w:rPr>
            </w:pPr>
          </w:p>
        </w:tc>
      </w:tr>
      <w:tr>
        <w:trPr>
          <w:trHeight w:val="237"/>
        </w:trPr>
        <w:tc>
          <w:tcPr>
            <w:tcW w:w="314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color w:val="auto"/>
              </w:rPr>
              <w:t>(State of incorporation)</w:t>
            </w:r>
          </w:p>
        </w:tc>
        <w:tc>
          <w:tcPr>
            <w:tcW w:w="406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8050 SW Tenth Street, Suite 4000, Fort Lauderdale, FL 33324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(954) 581-0922</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4"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92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374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800" w:type="dxa"/>
            <w:vAlign w:val="bottom"/>
          </w:tcPr>
          <w:p>
            <w:pPr>
              <w:spacing w:after="0"/>
              <w:rPr>
                <w:sz w:val="20"/>
                <w:szCs w:val="20"/>
                <w:color w:val="auto"/>
              </w:rPr>
            </w:pPr>
          </w:p>
        </w:tc>
        <w:tc>
          <w:tcPr>
            <w:tcW w:w="210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FIZZ</w:t>
            </w:r>
          </w:p>
        </w:tc>
        <w:tc>
          <w:tcPr>
            <w:tcW w:w="72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00" w:lineRule="exact"/>
        <w:rPr>
          <w:sz w:val="24"/>
          <w:szCs w:val="24"/>
          <w:color w:val="auto"/>
        </w:rPr>
      </w:pPr>
    </w:p>
    <w:p>
      <w:pPr>
        <w:spacing w:after="0" w:line="21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as of September 9, 2025 was 93,620,246.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gridSpan w:val="10"/>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NATIONAL BEVERAGE CORP.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60" w:type="dxa"/>
            <w:vAlign w:val="bottom"/>
            <w:gridSpan w:val="13"/>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980" w:type="dxa"/>
            <w:vAlign w:val="bottom"/>
            <w:gridSpan w:val="9"/>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08"/>
        </w:trPr>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80" w:type="dxa"/>
            <w:vAlign w:val="bottom"/>
            <w:gridSpan w:val="12"/>
          </w:tcPr>
          <w:p>
            <w:pPr>
              <w:jc w:val="center"/>
              <w:ind w:right="3660"/>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40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3120" w:type="dxa"/>
            <w:vAlign w:val="bottom"/>
            <w:tcBorders>
              <w:top w:val="single" w:sz="8" w:color="0000EE"/>
            </w:tcBorders>
            <w:gridSpan w:val="7"/>
          </w:tcPr>
          <w:p>
            <w:pPr>
              <w:spacing w:after="0"/>
              <w:rPr>
                <w:sz w:val="24"/>
                <w:szCs w:val="24"/>
                <w:color w:val="auto"/>
              </w:rPr>
            </w:pPr>
          </w:p>
        </w:tc>
        <w:tc>
          <w:tcPr>
            <w:tcW w:w="3660" w:type="dxa"/>
            <w:vAlign w:val="bottom"/>
            <w:gridSpan w:val="5"/>
          </w:tcPr>
          <w:p>
            <w:pPr>
              <w:spacing w:after="0"/>
              <w:rPr>
                <w:sz w:val="24"/>
                <w:szCs w:val="24"/>
                <w:color w:val="auto"/>
              </w:rPr>
            </w:pPr>
          </w:p>
        </w:tc>
        <w:tc>
          <w:tcPr>
            <w:tcW w:w="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0"/>
        </w:trPr>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06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EE"/>
              </w:rPr>
              <w:t>Condensed Consolidated Balance Sheets as of August 2, 2025 and May 3, 2025</w:t>
            </w:r>
          </w:p>
        </w:tc>
        <w:tc>
          <w:tcPr>
            <w:tcW w:w="2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0000EE"/>
                <w:w w:val="88"/>
              </w:rPr>
              <w:t>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84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for the Three Fiscal Months Ended August 2, 2025 and July 27, 2024</w:t>
            </w:r>
          </w:p>
        </w:tc>
        <w:tc>
          <w:tcPr>
            <w:tcW w:w="2220" w:type="dxa"/>
            <w:vAlign w:val="bottom"/>
            <w:gridSpan w:val="4"/>
          </w:tcPr>
          <w:p>
            <w:pPr>
              <w:spacing w:after="0"/>
              <w:rPr>
                <w:sz w:val="24"/>
                <w:szCs w:val="24"/>
                <w:color w:val="auto"/>
              </w:rPr>
            </w:pPr>
          </w:p>
        </w:tc>
        <w:tc>
          <w:tcPr>
            <w:tcW w:w="2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06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Fiscal Months Ended August 2, 2025 and July 27, 2024</w:t>
            </w:r>
          </w:p>
        </w:tc>
        <w:tc>
          <w:tcPr>
            <w:tcW w:w="2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962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Fiscal Months Ended August 2, 2025 and July 27, 2024</w:t>
            </w:r>
          </w:p>
        </w:tc>
        <w:tc>
          <w:tcPr>
            <w:tcW w:w="1060" w:type="dxa"/>
            <w:vAlign w:val="bottom"/>
          </w:tcPr>
          <w:p>
            <w:pPr>
              <w:spacing w:after="0"/>
              <w:rPr>
                <w:sz w:val="24"/>
                <w:szCs w:val="24"/>
                <w:color w:val="auto"/>
              </w:rPr>
            </w:pPr>
          </w:p>
        </w:tc>
        <w:tc>
          <w:tcPr>
            <w:tcW w:w="2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876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Fiscal Months Ended August 2, 2025 and July 27, 2024</w:t>
            </w:r>
          </w:p>
        </w:tc>
        <w:tc>
          <w:tcPr>
            <w:tcW w:w="66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2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876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920" w:type="dxa"/>
            <w:vAlign w:val="bottom"/>
            <w:gridSpan w:val="3"/>
          </w:tcPr>
          <w:p>
            <w:pPr>
              <w:spacing w:after="0"/>
              <w:rPr>
                <w:sz w:val="24"/>
                <w:szCs w:val="24"/>
                <w:color w:val="auto"/>
              </w:rPr>
            </w:pPr>
          </w:p>
        </w:tc>
        <w:tc>
          <w:tcPr>
            <w:tcW w:w="2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0000EE"/>
                <w:w w:val="88"/>
              </w:rPr>
              <w:t>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70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82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13</w:t>
            </w:r>
          </w:p>
        </w:tc>
        <w:tc>
          <w:tcPr>
            <w:tcW w:w="40" w:type="dxa"/>
            <w:vAlign w:val="bottom"/>
          </w:tcPr>
          <w:p>
            <w:pPr>
              <w:spacing w:after="0"/>
              <w:rPr>
                <w:sz w:val="24"/>
                <w:szCs w:val="24"/>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70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382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15</w:t>
            </w:r>
          </w:p>
        </w:tc>
        <w:tc>
          <w:tcPr>
            <w:tcW w:w="40" w:type="dxa"/>
            <w:vAlign w:val="bottom"/>
          </w:tcPr>
          <w:p>
            <w:pPr>
              <w:spacing w:after="0"/>
              <w:rPr>
                <w:sz w:val="24"/>
                <w:szCs w:val="24"/>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15</w:t>
            </w:r>
          </w:p>
        </w:tc>
        <w:tc>
          <w:tcPr>
            <w:tcW w:w="40" w:type="dxa"/>
            <w:vAlign w:val="bottom"/>
          </w:tcPr>
          <w:p>
            <w:pPr>
              <w:spacing w:after="0"/>
              <w:rPr>
                <w:sz w:val="24"/>
                <w:szCs w:val="24"/>
                <w:color w:val="auto"/>
              </w:rPr>
            </w:pPr>
          </w:p>
        </w:tc>
      </w:tr>
      <w:tr>
        <w:trPr>
          <w:trHeight w:val="412"/>
        </w:trPr>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2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380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9240" w:type="dxa"/>
            <w:vAlign w:val="bottom"/>
            <w:gridSpan w:val="16"/>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17</w:t>
            </w:r>
          </w:p>
        </w:tc>
        <w:tc>
          <w:tcPr>
            <w:tcW w:w="40" w:type="dxa"/>
            <w:vAlign w:val="bottom"/>
          </w:tcPr>
          <w:p>
            <w:pPr>
              <w:spacing w:after="0"/>
              <w:rPr>
                <w:sz w:val="24"/>
                <w:szCs w:val="24"/>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96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8960" w:type="dxa"/>
            <w:vAlign w:val="bottom"/>
            <w:gridSpan w:val="15"/>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17</w:t>
            </w:r>
          </w:p>
        </w:tc>
        <w:tc>
          <w:tcPr>
            <w:tcW w:w="40" w:type="dxa"/>
            <w:vAlign w:val="bottom"/>
          </w:tcPr>
          <w:p>
            <w:pPr>
              <w:spacing w:after="0"/>
              <w:rPr>
                <w:sz w:val="24"/>
                <w:szCs w:val="24"/>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96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8960" w:type="dxa"/>
            <w:vAlign w:val="bottom"/>
            <w:gridSpan w:val="15"/>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17</w:t>
            </w:r>
          </w:p>
        </w:tc>
        <w:tc>
          <w:tcPr>
            <w:tcW w:w="40" w:type="dxa"/>
            <w:vAlign w:val="bottom"/>
          </w:tcPr>
          <w:p>
            <w:pPr>
              <w:spacing w:after="0"/>
              <w:rPr>
                <w:sz w:val="24"/>
                <w:szCs w:val="24"/>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80" w:type="dxa"/>
            <w:vAlign w:val="bottom"/>
            <w:gridSpan w:val="1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Signature</w:t>
            </w:r>
          </w:p>
        </w:tc>
        <w:tc>
          <w:tcPr>
            <w:tcW w:w="460" w:type="dxa"/>
            <w:vAlign w:val="bottom"/>
          </w:tcPr>
          <w:p>
            <w:pPr>
              <w:spacing w:after="0"/>
              <w:rPr>
                <w:sz w:val="24"/>
                <w:szCs w:val="24"/>
                <w:color w:val="auto"/>
              </w:rPr>
            </w:pPr>
          </w:p>
        </w:tc>
        <w:tc>
          <w:tcPr>
            <w:tcW w:w="9680" w:type="dxa"/>
            <w:vAlign w:val="bottom"/>
            <w:gridSpan w:val="18"/>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18</w:t>
            </w:r>
          </w:p>
        </w:tc>
        <w:tc>
          <w:tcPr>
            <w:tcW w:w="40" w:type="dxa"/>
            <w:vAlign w:val="bottom"/>
          </w:tcPr>
          <w:p>
            <w:pPr>
              <w:spacing w:after="0"/>
              <w:rPr>
                <w:sz w:val="24"/>
                <w:szCs w:val="24"/>
                <w:color w:val="auto"/>
              </w:rPr>
            </w:pPr>
          </w:p>
        </w:tc>
      </w:tr>
      <w:tr>
        <w:trPr>
          <w:trHeight w:val="696"/>
        </w:trPr>
        <w:tc>
          <w:tcPr>
            <w:tcW w:w="700" w:type="dxa"/>
            <w:vAlign w:val="bottom"/>
            <w:tcBorders>
              <w:top w:val="single" w:sz="8" w:color="0000EE"/>
            </w:tcBorders>
            <w:gridSpan w:val="2"/>
          </w:tcPr>
          <w:p>
            <w:pPr>
              <w:spacing w:after="0"/>
              <w:rPr>
                <w:sz w:val="24"/>
                <w:szCs w:val="24"/>
                <w:color w:val="auto"/>
              </w:rPr>
            </w:pPr>
          </w:p>
        </w:tc>
        <w:tc>
          <w:tcPr>
            <w:tcW w:w="5200" w:type="dxa"/>
            <w:vAlign w:val="bottom"/>
            <w:gridSpan w:val="11"/>
          </w:tcPr>
          <w:p>
            <w:pPr>
              <w:jc w:val="center"/>
              <w:ind w:left="4550"/>
              <w:spacing w:after="0"/>
              <w:rPr>
                <w:sz w:val="20"/>
                <w:szCs w:val="20"/>
                <w:color w:val="auto"/>
              </w:rPr>
            </w:pPr>
            <w:r>
              <w:rPr>
                <w:rFonts w:ascii="Times New Roman" w:cs="Times New Roman" w:eastAsia="Times New Roman" w:hAnsi="Times New Roman"/>
                <w:sz w:val="18"/>
                <w:szCs w:val="18"/>
                <w:color w:val="auto"/>
                <w:w w:val="88"/>
              </w:rPr>
              <w:t>2</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520"/>
              <w:spacing w:after="0" w:line="205" w:lineRule="exact"/>
              <w:rPr>
                <w:sz w:val="20"/>
                <w:szCs w:val="20"/>
                <w:color w:val="auto"/>
              </w:rPr>
            </w:pPr>
            <w:r>
              <w:rPr>
                <w:rFonts w:ascii="Times New Roman" w:cs="Times New Roman" w:eastAsia="Times New Roman" w:hAnsi="Times New Roman"/>
                <w:sz w:val="18"/>
                <w:szCs w:val="18"/>
                <w:color w:val="auto"/>
              </w:rPr>
              <w:t>August 2,</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90"/>
              <w:spacing w:after="0" w:line="205" w:lineRule="exact"/>
              <w:rPr>
                <w:sz w:val="20"/>
                <w:szCs w:val="20"/>
                <w:color w:val="auto"/>
              </w:rPr>
            </w:pPr>
            <w:r>
              <w:rPr>
                <w:rFonts w:ascii="Times New Roman" w:cs="Times New Roman" w:eastAsia="Times New Roman" w:hAnsi="Times New Roman"/>
                <w:sz w:val="18"/>
                <w:szCs w:val="18"/>
                <w:color w:val="auto"/>
              </w:rPr>
              <w:t>May 3,</w:t>
            </w:r>
          </w:p>
        </w:tc>
        <w:tc>
          <w:tcPr>
            <w:tcW w:w="100" w:type="dxa"/>
            <w:vAlign w:val="bottom"/>
          </w:tcPr>
          <w:p>
            <w:pPr>
              <w:spacing w:after="0"/>
              <w:rPr>
                <w:sz w:val="17"/>
                <w:szCs w:val="17"/>
                <w:color w:val="auto"/>
              </w:rPr>
            </w:pPr>
          </w:p>
        </w:tc>
      </w:tr>
      <w:tr>
        <w:trPr>
          <w:trHeight w:val="234"/>
        </w:trPr>
        <w:tc>
          <w:tcPr>
            <w:tcW w:w="80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249,831</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193,835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106,504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104,157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93,916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85,109</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23,827</w:t>
            </w: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476,126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173,398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175,586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70,286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1,615</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5,300</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78,671</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82,448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43,521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14,533</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23,010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57,591</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7,758</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233,627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$1 par value - 1,000,000 shares authorized Series C - 150,000 shares issued</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- 200,000,000 shares authorized; 101,994,358 and 101,994,358 shares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respectively</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43,708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473,510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417,750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 at cost: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Series C preferred stock - 150,000 shares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(5,100)</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- 8,374,112 shares</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(19,133)</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504,133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443,999</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737,760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63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8"/>
                <w:szCs w:val="18"/>
                <w:color w:val="auto"/>
              </w:rPr>
              <w:t>Three Fiscal Months Ended</w:t>
            </w:r>
          </w:p>
        </w:tc>
      </w:tr>
      <w:tr>
        <w:trPr>
          <w:trHeight w:val="205"/>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line="205" w:lineRule="exact"/>
              <w:rPr>
                <w:sz w:val="20"/>
                <w:szCs w:val="20"/>
                <w:color w:val="auto"/>
              </w:rPr>
            </w:pPr>
            <w:r>
              <w:rPr>
                <w:rFonts w:ascii="Times New Roman" w:cs="Times New Roman" w:eastAsia="Times New Roman" w:hAnsi="Times New Roman"/>
                <w:sz w:val="18"/>
                <w:szCs w:val="18"/>
                <w:color w:val="auto"/>
              </w:rPr>
              <w:t>August 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ind w:left="160"/>
              <w:spacing w:after="0" w:line="205" w:lineRule="exact"/>
              <w:rPr>
                <w:sz w:val="20"/>
                <w:szCs w:val="20"/>
                <w:color w:val="auto"/>
              </w:rPr>
            </w:pPr>
            <w:r>
              <w:rPr>
                <w:rFonts w:ascii="Times New Roman" w:cs="Times New Roman" w:eastAsia="Times New Roman" w:hAnsi="Times New Roman"/>
                <w:sz w:val="18"/>
                <w:szCs w:val="18"/>
                <w:color w:val="auto"/>
              </w:rPr>
              <w:t>July 27,</w:t>
            </w:r>
          </w:p>
        </w:tc>
      </w:tr>
      <w:tr>
        <w:trPr>
          <w:trHeight w:val="234"/>
        </w:trPr>
        <w:tc>
          <w:tcPr>
            <w:tcW w:w="8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330,515</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329,473</w:t>
            </w:r>
          </w:p>
        </w:tc>
      </w:tr>
      <w:tr>
        <w:trPr>
          <w:trHeight w:val="216"/>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207,041</w:t>
            </w:r>
          </w:p>
        </w:tc>
      </w:tr>
      <w:tr>
        <w:trPr>
          <w:trHeight w:val="210"/>
        </w:trPr>
        <w:tc>
          <w:tcPr>
            <w:tcW w:w="8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122,432</w:t>
            </w:r>
          </w:p>
        </w:tc>
      </w:tr>
      <w:tr>
        <w:trPr>
          <w:trHeight w:val="216"/>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52,917</w:t>
            </w:r>
          </w:p>
        </w:tc>
      </w:tr>
      <w:tr>
        <w:trPr>
          <w:trHeight w:val="209"/>
        </w:trPr>
        <w:tc>
          <w:tcPr>
            <w:tcW w:w="8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69,515</w:t>
            </w:r>
          </w:p>
        </w:tc>
      </w:tr>
      <w:tr>
        <w:trPr>
          <w:trHeight w:val="216"/>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4,347</w:t>
            </w:r>
          </w:p>
        </w:tc>
      </w:tr>
      <w:tr>
        <w:trPr>
          <w:trHeight w:val="209"/>
        </w:trPr>
        <w:tc>
          <w:tcPr>
            <w:tcW w:w="8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73,862</w:t>
            </w:r>
          </w:p>
        </w:tc>
      </w:tr>
      <w:tr>
        <w:trPr>
          <w:trHeight w:val="216"/>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17,082</w:t>
            </w:r>
          </w:p>
        </w:tc>
      </w:tr>
      <w:tr>
        <w:trPr>
          <w:trHeight w:val="209"/>
        </w:trPr>
        <w:tc>
          <w:tcPr>
            <w:tcW w:w="8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55,760</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56,780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196"/>
        </w:trPr>
        <w:tc>
          <w:tcPr>
            <w:tcW w:w="800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93,569</w:t>
            </w:r>
          </w:p>
        </w:tc>
      </w:tr>
      <w:tr>
        <w:trPr>
          <w:trHeight w:val="197"/>
        </w:trPr>
        <w:tc>
          <w:tcPr>
            <w:tcW w:w="800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93,699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93,667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63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Three Fiscal Months Ended</w:t>
            </w: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40"/>
              <w:spacing w:after="0" w:line="205" w:lineRule="exact"/>
              <w:rPr>
                <w:sz w:val="20"/>
                <w:szCs w:val="20"/>
                <w:color w:val="auto"/>
              </w:rPr>
            </w:pPr>
            <w:r>
              <w:rPr>
                <w:rFonts w:ascii="Times New Roman" w:cs="Times New Roman" w:eastAsia="Times New Roman" w:hAnsi="Times New Roman"/>
                <w:sz w:val="18"/>
                <w:szCs w:val="18"/>
                <w:color w:val="auto"/>
              </w:rPr>
              <w:t>August 2,</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50"/>
              <w:spacing w:after="0" w:line="205" w:lineRule="exact"/>
              <w:rPr>
                <w:sz w:val="20"/>
                <w:szCs w:val="20"/>
                <w:color w:val="auto"/>
              </w:rPr>
            </w:pPr>
            <w:r>
              <w:rPr>
                <w:rFonts w:ascii="Times New Roman" w:cs="Times New Roman" w:eastAsia="Times New Roman" w:hAnsi="Times New Roman"/>
                <w:sz w:val="18"/>
                <w:szCs w:val="18"/>
                <w:color w:val="auto"/>
              </w:rPr>
              <w:t>July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55,760</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56,780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flow hedges</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(6,053)</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4"/>
                <w:szCs w:val="24"/>
                <w:color w:val="auto"/>
              </w:rPr>
            </w:pPr>
          </w:p>
        </w:tc>
        <w:tc>
          <w:tcPr>
            <w:tcW w:w="248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Three Fiscal Months Ended</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color w:val="auto"/>
              </w:rPr>
              <w:t>August 2, 2025</w:t>
            </w:r>
          </w:p>
        </w:tc>
        <w:tc>
          <w:tcPr>
            <w:tcW w:w="24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July 27, 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132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C Preferred Stock</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101,994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101,942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43,708</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42,588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417,750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535,077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55,760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56,780</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cash dividend</w:t>
            </w: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(304,148)</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473,510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5,604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4,239</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4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Treasury Stock - Series C Preferred</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1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Treasury Stock - Common</w:t>
            </w:r>
          </w:p>
        </w:tc>
        <w:tc>
          <w:tcPr>
            <w:tcW w:w="4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4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504,133</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306,596</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4"/>
                <w:szCs w:val="24"/>
                <w:color w:val="auto"/>
              </w:rPr>
            </w:pP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Three Fiscal Months Ended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521"/>
              <w:spacing w:after="0" w:line="205" w:lineRule="exact"/>
              <w:rPr>
                <w:sz w:val="20"/>
                <w:szCs w:val="20"/>
                <w:color w:val="auto"/>
              </w:rPr>
            </w:pPr>
            <w:r>
              <w:rPr>
                <w:rFonts w:ascii="Times New Roman" w:cs="Times New Roman" w:eastAsia="Times New Roman" w:hAnsi="Times New Roman"/>
                <w:sz w:val="18"/>
                <w:szCs w:val="18"/>
                <w:color w:val="auto"/>
              </w:rPr>
              <w:t>August 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50"/>
              <w:spacing w:after="0" w:line="205" w:lineRule="exact"/>
              <w:rPr>
                <w:sz w:val="20"/>
                <w:szCs w:val="20"/>
                <w:color w:val="auto"/>
              </w:rPr>
            </w:pPr>
            <w:r>
              <w:rPr>
                <w:rFonts w:ascii="Times New Roman" w:cs="Times New Roman" w:eastAsia="Times New Roman" w:hAnsi="Times New Roman"/>
                <w:sz w:val="18"/>
                <w:szCs w:val="18"/>
                <w:color w:val="auto"/>
              </w:rPr>
              <w:t>July 27,</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55,760</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Trade receivables</w:t>
            </w:r>
          </w:p>
        </w:tc>
        <w:tc>
          <w:tcPr>
            <w:tcW w:w="24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(13,192)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(8,807)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(6,026)</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10,558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(3,864)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(304,148)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(303,803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4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55,996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(250,007)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193,835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327,047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249,831</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National Beverage Corp. develops, produces, markets and sells a distinctive portfolio of sparkling waters, juices, energy drinks and carbonated soft drinks primarily in the United States. Incorporated in Delaware in 1985, National Beverage Corp. is a holding company for various operating subsidiaries. When used in this report, the terms “we,” “us,” “our,” “Company” and “National Beverage” mean National Beverage Corp. and its subsidiaries.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National Beverage Corp. and its subsidiaries. All significant intercompany transactions and accounts have been eliminated.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United States Generally Accepted Accounting Principles and rules and regulations of the Securities and Exchange Commission for interim financial reporting. Accordingly, they do not include all information and notes presented in the annual consolidated financial statements. The condensed consolidated financial statements should be read in conjunction with the annual consolidated financial statements and accompanying notes included in our Annual Report on Form 10-K for the fiscal year ended May 3, 2025. The accounting policies used in these interim unaudited condensed consolidated financial statements are consistent with those used in the annual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as a single operating segment for purposes of presenting financial information and evaluating performance. As such, the accompanying consolidated financial statements present financial information in a format that is consistent with the internal financial information used by management. See Note 7- Segment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amounts reported in the interim unaudited condensed consolidated financial statements and accompanying notes. Actual results could differ from those estimates. In our opinion, all adjustments (consisting of normal recurring adjustments) considered necessary for a fair presentation have been included. Results for the interim periods presented are not necessarily indicative of results which might be expected for the entire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carrying values of the Company’s financial instruments, including cash and cash equivalents, accounts receivable, accounts payable and accrued liabilities, approximate fair value due to the relatively short maturity of the respective instruments. As of August 2, 2025 and May 3, 2025, cash and cash equivalents included money-market instruments of $133.7 million and $109.1 million, respectively. These financial instruments are Level 1 as defined by the fair value hierarchy since they are based on quoted prices in active markets for identical assets and liabilities. Derivative financial instruments which are used to partially mitigate the Company’s exposure to changes in certain raw material costs are recorded at fair value. Derivative financial instruments are not used for trading or speculative purposes. Credit risk related to derivative financial instruments is managed by requiring high credit standards for counterparties and frequent cash settlements. The estimated fair values of derivative financial instruments are calculated based on market rates to settle the instruments. See Note 5-Derivative Financial Instruments.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Net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estimated allowances for credit losses as of August 2, 2025 and May 3, 2025 were $1.3 million and $1.2 million, respectively. The Company’s trade receivable, net balances as of July 27, 2024 and April 27, 2024 were $116.0 million and $102.8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first-in, first-out cost or net realizable value. Adjustments, if required, to reduce the cost of inventory to net realizable value are made for estimated excess, obsolete or impaired balances. Inventories at August 2, 2025 were comprised of finished goods of $52.5 million and raw materials of $41.4 million. Inventories at May 3, 2025 were comprised of finished goods of $44.0 million and raw materials of $41.1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Shipping and handling costs are reported in selling, general and administrative expenses in the accompanying condensed consolidated statements of income. Such costs were $19.8 million and $19.5 million for the three fiscal months ended August 2, 2025 and July 27, 2024, respectively. Although our classification is consistent with many beverage companies, our gross margin may not be comparable to companies that include shipping and handling costs in cost of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Costs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utilizes a variety of marketing programs, including cooperative advertising programs with customers, to advertise and promote its beverages to consumers. Marketing costs are expensed when incurred, except for prepaid advertising and production costs, which are expensed when the advertising takes place. Marketing costs, which are included in selling, general and administrative expenses, were $13.6 million and $11.5 million for the three fiscal months ended August 2, 2025 and July 27,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Common Share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common share is computed by dividing earnings available to common shareholders by the weighted average number of common shares outstanding during the period. Diluted earnings per common share is calculated in a similar manner, but includes the dilutive effect of stock options amounting to 79,000 and 98,000 shares in the three fiscal months ended August 2, 2025 and July 27, 2024,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disclosure of specific categories in the rate reconciliation, including additional information for reconciling items that meet a quantitative threshold and specific disaggregation of income taxes paid and tax expense. The amendment is effective for annual reporting periods beginning after December 15, 2024. The Company will adopt ASU 2023-09 on a prospective basis for its fiscal year ended May 2, 2026.</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entities to disaggregate operating expenses into specific categories such as employee compensation, depreciation, and intangible asset amortization, by relevant expense caption on the statement of operations. The standard is effective for annual reporting periods beginning after December 15, 2026, and interim periods within annual reporting periods beginning after December 15, 2027. Early adoption is permitted on either a prospective or retrospective basis. The Company is currently evaluating the impact of adopting ASU 2024-03 on its consolidated financial statements and related disclosures.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requires disclosure of the election of a practical expedient that assumes that current conditions as of the balance sheet date do not change for the remaining life of the asset when developing reasonable and supportable forecasts as a part of estimating expected credit losses. The election of the practical expedient is permitted on a prospective basis. The amendment is effective for annual reporting periods beginning after December 15, 2025, and interim reporting periods within those annual reporting periods. The Company does not expect a material impact upon adoption.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PROPERTY, PLANT AND EQUIPMENT, NET</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 of the following:</w:t>
            </w:r>
          </w:p>
        </w:tc>
        <w:tc>
          <w:tcPr>
            <w:tcW w:w="240" w:type="dxa"/>
            <w:vAlign w:val="bottom"/>
          </w:tcPr>
          <w:p>
            <w:pPr>
              <w:spacing w:after="0"/>
              <w:rPr>
                <w:sz w:val="24"/>
                <w:szCs w:val="24"/>
                <w:color w:val="auto"/>
              </w:rPr>
            </w:pPr>
          </w:p>
        </w:tc>
        <w:tc>
          <w:tcPr>
            <w:tcW w:w="1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August 2,</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390"/>
              <w:spacing w:after="0" w:line="191" w:lineRule="exact"/>
              <w:rPr>
                <w:sz w:val="20"/>
                <w:szCs w:val="20"/>
                <w:color w:val="auto"/>
              </w:rPr>
            </w:pPr>
            <w:r>
              <w:rPr>
                <w:rFonts w:ascii="Times New Roman" w:cs="Times New Roman" w:eastAsia="Times New Roman" w:hAnsi="Times New Roman"/>
                <w:sz w:val="18"/>
                <w:szCs w:val="18"/>
                <w:color w:val="auto"/>
              </w:rPr>
              <w:t>May 3,</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7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82,086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330,853</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328,172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(249,376)</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(244,185)</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173,398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Machinery and equipment included construction-in-progress in the amounts of $39.0 million and $37.7 million as of August 2, 2025 and May 3, 2025, respectively. Depreciation expense was $5.3 million and $5.0 million for the three fiscal months ended August 2, 2025 and July 27, 2024, respectively. Depreciation expense is recorded in cost of sales and selling, general and administrative expenses.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for certain of its offices, buildings, machinery and equipment expiring at various dates through June 2037. The Company does not assume renewals in the determination of the lease term unless the renewals are deemed to be reasonably assured at lease commencement. Lease agreements generally do not contain material residual value guarantees or material restrictive covenants. Operating lease costs were $4.6 million and $4.1 million for the three fiscal months ended August 2, 2025 and July 27, 2024, respectively. As of August 2, 2025, the weighted-average remaining lease term and weighted average discount rate of operating leases was 5.75 years and 4.54%, respectively. As of May 3, 2025, the weighted-average remaining lease term and weighted average discount rate of operating leases was 5.92 years and 4.52%, respectively. Cash payments were $4.7 million and $4.1 million for operating leases for the three fiscal months ended August 2, 2025 and July 27, 2024,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future minimum lease payments and related liabilities for all non-cancelable operating leases as of August 2, 2025:</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9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 Remaining 3 quarters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16,724</w:t>
            </w:r>
          </w:p>
        </w:tc>
      </w:tr>
      <w:tr>
        <w:trPr>
          <w:trHeight w:val="21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11,925</w:t>
            </w:r>
          </w:p>
        </w:tc>
      </w:tr>
      <w:tr>
        <w:trPr>
          <w:trHeight w:val="216"/>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10,795</w:t>
            </w:r>
          </w:p>
        </w:tc>
      </w:tr>
      <w:tr>
        <w:trPr>
          <w:trHeight w:val="21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10,213</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17,133</w:t>
            </w:r>
          </w:p>
        </w:tc>
      </w:tr>
      <w:tr>
        <w:trPr>
          <w:trHeight w:val="210"/>
        </w:trPr>
        <w:tc>
          <w:tcPr>
            <w:tcW w:w="9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 including interest</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(10,092)</w:t>
            </w:r>
          </w:p>
        </w:tc>
      </w:tr>
      <w:tr>
        <w:trPr>
          <w:trHeight w:val="209"/>
        </w:trPr>
        <w:tc>
          <w:tcPr>
            <w:tcW w:w="9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1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(15,009)</w:t>
            </w:r>
          </w:p>
        </w:tc>
      </w:tr>
      <w:tr>
        <w:trPr>
          <w:trHeight w:val="223"/>
        </w:trPr>
        <w:tc>
          <w:tcPr>
            <w:tcW w:w="9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lease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August 2, 2025, a subsidiary of the Company maintained unsecured revolving credit facilities with banks aggregating $100 million (the “Credit Facilities”). The Credit Facilities expire from September 10, 2027 to May 30, 2028 and any borrowings would currently bear interest at 1.15% above the Secured Overnight Financing Rate (“SOFR”). There were no borrowings outstanding under the Credit Facilities at August 2, 2025 or May 3, 2025. At August 2, 2025, $2.7 million of the Credit Facilities was reserved for standby letters of credit and $97.3 million was available for borrowings.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subsidiary of the Company also maintains an unsecured revolving term loan facility with a national bank aggregating $50 million (the “Loan Facility”). There were no borrowings outstanding under the Loan Facility at August 2, 2025 or May 3, 2025. The Loan Facility expires December 31, 2027 and borrowings would bear interest at 1.15% above the adjusted daily SOFR.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Facilities and Loan Facility require the subsidiary to maintain certain financial ratios, including debt to net worth and debt to EBITDA (as defined in the credit agreements) and contain other restrictions, none of which are expected to have a material effect on its operations or financial position. At August 2, 2025, the subsidiary was in compliance with all loan covenants.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enter into aluminum swap contracts to partially mitigate our exposure to changes in the cost of aluminum containers. Such financial instruments are designated and accounted for as cash flow hedges. Accordingly, gains or losses attributable to the effective portion of the cash flow hedge are reported in accumulated other comprehensive income (loss) (“AOCI”) and reclassified into cost of sales in the period in which the hedged transaction affects earnings. The ineffective portion of the change in fair value of our cash flow hedges was immaterial. The following summarizes the gains (losses) recognized in the Condensed Consolidated Statements of Income and AOCI:</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6"/>
          </w:tcPr>
          <w:p>
            <w:pPr>
              <w:jc w:val="right"/>
              <w:ind w:right="641"/>
              <w:spacing w:after="0"/>
              <w:rPr>
                <w:sz w:val="20"/>
                <w:szCs w:val="20"/>
                <w:color w:val="auto"/>
              </w:rPr>
            </w:pPr>
            <w:r>
              <w:rPr>
                <w:rFonts w:ascii="Times New Roman" w:cs="Times New Roman" w:eastAsia="Times New Roman" w:hAnsi="Times New Roman"/>
                <w:sz w:val="18"/>
                <w:szCs w:val="18"/>
                <w:color w:val="auto"/>
              </w:rPr>
              <w:t>Three Fiscal Months Ended</w:t>
            </w:r>
          </w:p>
        </w:tc>
      </w:tr>
      <w:tr>
        <w:trPr>
          <w:trHeight w:val="223"/>
        </w:trPr>
        <w:tc>
          <w:tcPr>
            <w:tcW w:w="6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August 2, 2025</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July 27, 2024</w:t>
            </w:r>
          </w:p>
        </w:tc>
        <w:tc>
          <w:tcPr>
            <w:tcW w:w="100" w:type="dxa"/>
            <w:vAlign w:val="bottom"/>
          </w:tcPr>
          <w:p>
            <w:pPr>
              <w:spacing w:after="0"/>
              <w:rPr>
                <w:sz w:val="19"/>
                <w:szCs w:val="19"/>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in AOCI:</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10,652</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(7,198)</w:t>
            </w:r>
          </w:p>
        </w:tc>
      </w:tr>
      <w:tr>
        <w:trPr>
          <w:trHeight w:val="22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tax provision (benefit)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10"/>
        </w:trPr>
        <w:tc>
          <w:tcPr>
            <w:tcW w:w="6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Reclassified from AOCI to cost of sales: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before income taxes</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732</w:t>
            </w:r>
          </w:p>
        </w:tc>
      </w:tr>
      <w:tr>
        <w:trPr>
          <w:trHeight w:val="23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tax provision</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w:t>
            </w:r>
          </w:p>
        </w:tc>
      </w:tr>
      <w:tr>
        <w:trPr>
          <w:trHeight w:val="209"/>
        </w:trPr>
        <w:tc>
          <w:tcPr>
            <w:tcW w:w="6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tcPr>
          <w:p>
            <w:pPr>
              <w:spacing w:after="0"/>
              <w:rPr>
                <w:sz w:val="18"/>
                <w:szCs w:val="18"/>
                <w:color w:val="auto"/>
              </w:rPr>
            </w:pPr>
          </w:p>
        </w:tc>
      </w:tr>
      <w:tr>
        <w:trPr>
          <w:trHeight w:val="223"/>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to AOCI</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August 2, 2025, the notional amount of our outstanding aluminum swap contracts was $39.1 million and, assuming no change in commodity prices, $12.0 million of unrealized gain before tax will be reclassified from AOCI and recognized in earnings over the next 12 months. The Company’s policy for the maximum length of time for which it hedges exposure to the variability of future cash flows is three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not subject to any legally enforceable master netting arrangements and does not offset fair value amounts recognized for derivative instruments. As of August 2, 2025, the fair value of the short-term derivative liability was $0.1 million, which was included in accrued liabilities, and the fair value of the derivative asset was $12.1 million, which was included in prepaid and other assets. As of May 3, 2025, the fair value of the derivative asset was $7.4 million, which was included in prepaid and other assets. The fair value of the derivative liability was $1.0 million, which was included in accrued liabilities. Such valuation does not entail a significant amount of judgment and the inputs that are significant to the fair value measurement are Level 2 as defined by the fair value hierarchy as they are observable market based inputs or unobservable inputs that are corroborated by market data.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a management agreement with Corporate Management Advisors, Inc. (CMA), a corporation owned by our Chairman and Chief Executive Officer. The management agreement provides that the Company will pay CMA an annual base fee equal to one percent of the consolidated net sales of the Company. Management fees to CMA were $3.3 million for each of the three fiscal months ended August 2, 2025 and July 27, 2024. At August 2, 2025 and May 3, 2025, accounts payable included amounts due to CMA of $2.0 million and $2.1 million,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that encompasses the development, production, marketing and sale of beverages. The Company manages its business on a consolidated basis utilizing vertically integrated production facilities and a centralized supply chain infrastructure.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(“CODM”) makes operating decisions, allocates resources and assesses financial performance based primarily upon consolidated operating income and net income as reported in the consolidated statements of income. The CODM also regularly reviews cost of sales, shipping and handling costs, and marketing costs. These costs represent significant segment expenses and are reported elsewhere in the consolidated financial statements. Other segment items include other selling and general administrative costs (primarily consisting of compensation-related and other overhead costs), other income (expense), net which includes interest income and interest expense, and provision for income taxes. Depreciation and amortization expense is reported in the consolidated statements of cash flow.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National Beverage Corp. innovatively refreshes America with a distinctive portfolio of sparkling waters, juices, energy drinks (Power+ Brands) and, to a lesser extent, carbonated soft drinks. We believe our creative product designs, innovative packaging and imaginative flavors, along with our corporate culture and philosophy, make National Beverage unique as a stand-alone entity in the beverage industry.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brands are geared to the active and health-conscious consumer including sparkling waters, energy drinks and juices. Our portfolio of Power+ Brands includes LaCroix® sparkling water; Clear Fruit® non-carbonated water beverages enhanced with fruit flavor; Rip It® energy drinks and shots; and Everfresh®, Everfresh Premier Varietals™ and Mr. Pure® 100% juice and juice-based products. Additionally, we produce and distribute carbonated soft drinks including Shasta® and Faygo®, iconic brands whose consumer loyalty spans more than 135 years.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seeks the profitable growth of our products by (i) developing healthier beverages in response to the global shift in consumer buying habits and tailoring our beverage portfolio to the preferences of a diverse mix of ‘crossover consumers’ – a growing group desiring a healthier alternative to artificially sweetened and high-caloric beverages; (ii) emphasizing unique flavor development and variety throughout our brands that appeal to multiple demographic groups; (iii) maintaining points of difference through innovative marketing, packaging and consumer engagement and (iv) responding faster and more creatively to changing consumer trends than larger competitors who are burdened by legacy production and distribution complexity and costs.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Presently, our primary market focus is the United States. Certain of our beverages are also distributed on a limited basis in other countries and options to expand distribution to other regions are being pursued. To service a diverse customer base that includes numerous national retailers, as well as thousands of smaller “up-and-down-the-street” accounts, we utilize a hybrid distribution system consisting of warehouse and direct-store delivery. The warehouse delivery system allows our retail partners to further maximize their assets by utilizing their ability to pick up beverages at our warehouses, further lowering their/our product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results are affected by numerous factors, including fluctuations in the costs of raw materials, supply chain disruptions, holiday and seasonal programming and weather conditions. Beverage sales are seasonal with higher sales volume realized during the summer months when outdoor activities are more prevalent.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Fiscal Months Ended August 2, 2025 (first quarter of fiscal 2026) compared to Three Fiscal Months Ended July 27, 2024 (first quarter of fiscal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first quarter of fiscal 2026 increased $1.0 million to $330.5 million compared to $329.5 million for the first quarter of fiscal 2025. The increase in sales resulted primarily from a 4.4% increase average selling price per case, partially offset by a 3.9% decrease in case volume. The decrease in case volume impacted both carbonated soft drink brands and Power+ Brands.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first quarter of fiscal 2026 increased to $125.5 million compared to $122.4 million for the first quarter of fiscal 2025. The increase in gross profit was primarily due to an increase in average selling price per case, partially offset by an increase in packaging and ingredients costs and the decline in case volume. The cost of sales per case increased 2.9%. Gross margin increased to 38.0% compared to 37.2% for the first quarter of fiscal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first quarter of fiscal 2026 increased $1.8 million to $54.7 million from $52.9 million for the first quarter of fiscal 2025. The increase was primarily due to an increase in marketing costs. As a percentage of net sales, selling, general and administrative expenses increased to 16.5% for the first quarter of fiscal 2026 compared to 16.1% for the first quarter of fiscal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includes interest income of $2.2 million for the first quarter of fiscal 2026 and $4.3 million for the first quarter of fiscal 2025. The decrease in interest income is due primarily to decreased average invested balances.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based upon estimated annual income tax rates, was 23.6% for the first quarter of fiscal 2026 and 23.1% for the first quarter of fiscal 2025. The difference between the effective rate and the federal statutory rate of 21% was primarily due to the effects of state income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cash-equivalents, cash generated from operating activities and borrowing capacity. At August 2, 2025, we maintained the unsecured revolving Credit Facilities and the Loan Facility totaling $150 million, under which no borrowings were outstanding and $2.7 million was reserved for standby letters of credit. We believe existing capital resources will be sufficient to meet our liquidity and capital requirements for the next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cash position increased $56.0 million for the first quarter of fiscal 2026 compared to a decrease of $250.0 million for the first quarter of fiscal 2025 primarily due to the special cash dividend of $304.1 million paid on July 24, 2024.</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quarter of fiscal 2026 was $59.1 million compared to $57.5 million for the first quarter of fiscal 2025. For the first quarter of fiscal 2026, cash flow provided by operating activities increased primarily due to a net decrease in working capital, excluding cash, and other items, partially offset by the decrease in net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first quarter of fiscal 2026 reflects capital expenditures of $3.1 million, compared to capital expenditures of $3.7 million for the first quarter of fiscal 2025. Certain production capacity and efficiency improvement projects are in progress and we anticipate fiscal 2026 capital expenditures will not exceed fiscal 2025 capital spending.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August 2, 2025, working capital increased to $329.2 million from $266.4 million at May 3, 2025. The current ratio was 3.2 to 1 at August 2, 2025 compared to 2.9 to 1 at May 3, 2025. The increase in working capital and current ratio was due primarily to an increase in cash and cash equivalents of $56.0 million and other net working capital increases of $6.8 million. Trade receivables increased $2.3 million and days sales outstanding decreased to 29.3 days from 32.5 days. Inventories increased $8.8 million and inventory turns decreased to 8.2 times from 8.7 times.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market risks from those reported in our Annual Report on Form 10-K for the fiscal year ended May 3,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the Company’s management, including our Chief Executive Officer and Principal Financial Officer, of the effectiveness of the design and operation of our “disclosure controls and procedures” (as defined in Rule 13a-15(e) of the Securities Exchange Act of 1934). Based upon that evaluation, the Chief Executive Officer and Principal Financial Officer concluded that our disclosure controls and procedures were effective to ensure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Principal Financial Officer, to allow timely decisions regarding required disclosure.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National Beverage Corp. and its representatives may make written or oral statements relating to future events or results relative to our financial, operational and business performance, achievements, objectives and strategies. These statements are “forward-looking” within the meaning of the Private Securities Litigation Reform Act of 1995 and include statements contained in this report and other filings with the Securities and Exchange Commission and in reports to our stockholders. Certain statements including, without limitation, statements containing the words “believes,” “anticipates,” “intends,” “plans,” “expects,” “estimates”, “may,” “will,” “should,” “could,” and similar expressions constitute “forward-looking statements” and involve known and unknown risk, uncertainties and other factors that may cause the actual results, performance or achievements of our Company to be materially different from any future results, performance or achievements expressed or implied by such forward looking statements. Such factors include, but are not limited to, the following: general economic and business conditions, pricing of competitive products, success of new product and flavor introductions, fluctuations in the costs and availability of raw materials and packaging supplies, including effects of tariffs, ability to recover cost increases, labor strikes or work stoppages or other interruptions in the employment of labor, continued retailer support for our products, changes in brand image, consumer demand and preferences and our success in creating products geared toward consumers’ tastes, success in implementing business strategies, changes in business strategy or development plans, technology failures or cyberattacks on our technology systems or our effective response to technology failures or cyberattacks on our customers’, suppliers’ or other third parties’ technology systems, government regulations, taxes or fees imposed on the sale of our products, unfavorable weather conditions, changing weather patterns and natural disasters, climate change or legislative or regulatory responses to such change and other factors referenced in this report, filings with the Securities and Exchange Commission and other reports to our stockholders. We disclaim any obligation to update any such factors or to publicly announce the results of any revisions to any forward- looking statements contained herein to reflect future events or developments.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risk factors from those reported in our Annual Report on Form 10-K for the fiscal year ended May 3,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fiscal months ended August 2, 2025, no director or Section 16 officer adopted, modified, or terminated any “Rule 10b5-1 trading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or “non-Rule 10b5-1 trading arrangement”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as defined in Item 408(a) of Regulation S-K).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362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20"/>
        </w:trPr>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73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302 of the Sarbanes-Oxley Act of 2002</w:t>
            </w:r>
          </w:p>
        </w:tc>
      </w:tr>
      <w:tr>
        <w:trPr>
          <w:trHeight w:val="412"/>
        </w:trPr>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4"/>
                <w:szCs w:val="24"/>
                <w:color w:val="auto"/>
              </w:rPr>
            </w:pPr>
          </w:p>
        </w:tc>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20"/>
        </w:trPr>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32.2</w:t>
            </w:r>
          </w:p>
        </w:tc>
        <w:tc>
          <w:tcPr>
            <w:tcW w:w="620" w:type="dxa"/>
            <w:vAlign w:val="bottom"/>
          </w:tcPr>
          <w:p>
            <w:pPr>
              <w:spacing w:after="0"/>
              <w:rPr>
                <w:sz w:val="24"/>
                <w:szCs w:val="24"/>
                <w:color w:val="auto"/>
              </w:rPr>
            </w:pPr>
          </w:p>
        </w:tc>
        <w:tc>
          <w:tcPr>
            <w:tcW w:w="73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906 of the Sarbanes-Oxley Act of 2002</w:t>
            </w:r>
          </w:p>
        </w:tc>
      </w:tr>
    </w:tbl>
    <w:p>
      <w:pPr>
        <w:spacing w:after="0" w:line="225" w:lineRule="exact"/>
        <w:rPr>
          <w:sz w:val="20"/>
          <w:szCs w:val="20"/>
          <w:color w:val="auto"/>
        </w:rPr>
      </w:pPr>
    </w:p>
    <w:p>
      <w:pPr>
        <w:jc w:val="both"/>
        <w:ind w:left="1460" w:hanging="1128"/>
        <w:spacing w:after="0" w:line="258" w:lineRule="auto"/>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National Beverage Corp. Quarterly Report on Form 10-Q for the quarterly period ended August 2, 2025, formatted in iXBRL (Inline eXtensible Business Reporting Language): (i) Condensed Consolidated Balance Sheets (Unaudited); (ii) Condensed Consolidated Statements of Income (Unaudited); (iii) Condensed Consolidated Statements of Comprehensive Income (Unaudited); (iv) Condensed Consolidated Statements of Shareholders’ Equity (Unaudited); (v) Condensed Consolidated Statements of Cash Flows (Unaudited); and (vi) the Notes to Condensed Consolidated Financial Statements (Unaudited).</w:t>
      </w:r>
    </w:p>
    <w:p>
      <w:pPr>
        <w:spacing w:after="0" w:line="183" w:lineRule="exact"/>
        <w:rPr>
          <w:sz w:val="20"/>
          <w:szCs w:val="20"/>
          <w:color w:val="auto"/>
        </w:rPr>
      </w:pPr>
    </w:p>
    <w:p>
      <w:pPr>
        <w:ind w:left="5540" w:right="3240" w:hanging="5208"/>
        <w:spacing w:after="0" w:line="532" w:lineRule="auto"/>
        <w:tabs>
          <w:tab w:leader="none" w:pos="14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National Beverage Corp.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jc w:val="right"/>
        <w:ind w:right="3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George R. Bracken</w:t>
      </w:r>
    </w:p>
    <w:p>
      <w:pPr>
        <w:spacing w:after="0" w:line="27" w:lineRule="exact"/>
        <w:rPr>
          <w:sz w:val="20"/>
          <w:szCs w:val="20"/>
          <w:color w:val="auto"/>
        </w:rPr>
      </w:pPr>
    </w:p>
    <w:p>
      <w:pPr>
        <w:jc w:val="right"/>
        <w:ind w:right="3700"/>
        <w:spacing w:after="0"/>
        <w:rPr>
          <w:sz w:val="20"/>
          <w:szCs w:val="20"/>
          <w:color w:val="auto"/>
        </w:rPr>
      </w:pPr>
      <w:r>
        <w:rPr>
          <w:rFonts w:ascii="Times New Roman" w:cs="Times New Roman" w:eastAsia="Times New Roman" w:hAnsi="Times New Roman"/>
          <w:sz w:val="18"/>
          <w:szCs w:val="18"/>
          <w:color w:val="auto"/>
        </w:rPr>
        <w:t>George R. Bracken</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Executive Vice President – Finance</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Nick A. Caporella,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Beverage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55"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328"/>
        <w:spacing w:after="0" w:line="26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Nick A. Caporella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A. Caporella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R. Bracken,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Beverage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55"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66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328"/>
        <w:spacing w:after="0" w:line="26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George R. Bracken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R. Bracken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33"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Beverage Corp. (the “Company”) on Form 10-Q for the period ended August 2, 2025 as filed with the Securities and Exchange Commission on the date hereof (the “Report”), I, Nick A. Caporella, Chairman of the Board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8"/>
        <w:spacing w:after="0" w:line="500" w:lineRule="auto"/>
        <w:tabs>
          <w:tab w:leader="none" w:pos="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11,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Nick A. Caporella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A. Caporella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Beverage Corp. (the “Company”) on Form 10-Q for the period ended August 2, 2025 as filed with the Securities and Exchange Commission on the date hereof (the “Report”), I, George R. Bracken, Executive Vice President - Finance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20" w:firstLine="8"/>
        <w:spacing w:after="0" w:line="500"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Date: September 11,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George R. Bracken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R. Bracken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01"/>
    </w:lvl>
  </w:abstractNum>
  <w:abstractNum w:abstractNumId="3">
    <w:nsid w:val="507ED7AB"/>
    <w:multiLevelType w:val="hybridMultilevel"/>
    <w:lvl w:ilvl="0">
      <w:lvlJc w:val="left"/>
      <w:lvlText w:val="%1"/>
      <w:numFmt w:val="decimal"/>
      <w:start w:val="104"/>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2025-09-11T15:42:44Z</dcterms:created>
  <dcterms:modified xsi:type="dcterms:W3CDTF">2025-09-11T15:42:44Z</dcterms:modified>
</cp:coreProperties>
</file>