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fizz20260702_8k.htm"/>
      <w:bookmarkStart w:id="1" w:name="ksfizz20260702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FORM </w:t>
      </w:r>
      <w:r>
        <w:rPr>
          <w:rFonts w:ascii="Times New Roman" w:hAnsi="Times New Roman"/>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caps w:val="false"/>
          <w:smallCaps w:val="false"/>
          <w:sz w:val="20"/>
          <w:u w:val="single"/>
        </w:rPr>
        <w:t>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National Beverage Corp.</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28" w:type="dxa"/>
          <w:right w:w="0" w:type="dxa"/>
        </w:tblCellMar>
      </w:tblPr>
      <w:tblGrid>
        <w:gridCol w:w="2615"/>
        <w:gridCol w:w="3260"/>
      </w:tblGrid>
      <w:tr>
        <w:trPr/>
        <w:tc>
          <w:tcPr>
            <w:tcW w:w="2615" w:type="dxa"/>
            <w:tcBorders>
              <w:bottom w:val="single" w:sz="2" w:space="0" w:color="000000"/>
            </w:tcBorders>
            <w:vAlign w:val="center"/>
          </w:tcPr>
          <w:p>
            <w:pPr>
              <w:pStyle w:val="TableContents"/>
              <w:bidi w:val="0"/>
              <w:spacing w:before="0" w:after="283"/>
              <w:jc w:val="center"/>
              <w:rPr/>
            </w:pPr>
            <w:r>
              <w:rPr/>
              <w:t>1-14170</w:t>
            </w:r>
          </w:p>
        </w:tc>
        <w:tc>
          <w:tcPr>
            <w:tcW w:w="3260" w:type="dxa"/>
            <w:tcBorders>
              <w:bottom w:val="single" w:sz="2" w:space="0" w:color="000000"/>
            </w:tcBorders>
            <w:vAlign w:val="center"/>
          </w:tcPr>
          <w:p>
            <w:pPr>
              <w:pStyle w:val="TableContents"/>
              <w:bidi w:val="0"/>
              <w:spacing w:before="0" w:after="283"/>
              <w:jc w:val="center"/>
              <w:rPr/>
            </w:pPr>
            <w:r>
              <w:rPr/>
              <w:t>59-2605822</w:t>
            </w:r>
          </w:p>
        </w:tc>
      </w:tr>
      <w:tr>
        <w:trPr/>
        <w:tc>
          <w:tcPr>
            <w:tcW w:w="2615" w:type="dxa"/>
            <w:tcBorders/>
            <w:tcMar>
              <w:bottom w:w="0" w:type="dxa"/>
            </w:tcMar>
            <w:vAlign w:val="center"/>
          </w:tcPr>
          <w:p>
            <w:pPr>
              <w:pStyle w:val="TableContents"/>
              <w:bidi w:val="0"/>
              <w:spacing w:before="0" w:after="283"/>
              <w:jc w:val="center"/>
              <w:rPr/>
            </w:pPr>
            <w:r>
              <w:rPr/>
              <w:t>(Commission File Number)</w:t>
            </w:r>
          </w:p>
        </w:tc>
        <w:tc>
          <w:tcPr>
            <w:tcW w:w="3260" w:type="dxa"/>
            <w:tcBorders/>
            <w:tcMar>
              <w:bottom w:w="0" w:type="dxa"/>
            </w:tcMar>
            <w:vAlign w:val="center"/>
          </w:tcPr>
          <w:p>
            <w:pPr>
              <w:pStyle w:val="TableContents"/>
              <w:bidi w:val="0"/>
              <w:spacing w:before="0" w:after="283"/>
              <w:jc w:val="center"/>
              <w:rPr/>
            </w:pPr>
            <w:r>
              <w:rPr/>
              <w:t>(IRS Employer Identification No.)</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860"/>
        <w:gridCol w:w="1070"/>
      </w:tblGrid>
      <w:tr>
        <w:trPr/>
        <w:tc>
          <w:tcPr>
            <w:tcW w:w="3860" w:type="dxa"/>
            <w:tcBorders/>
            <w:vAlign w:val="center"/>
          </w:tcPr>
          <w:p>
            <w:pPr>
              <w:pStyle w:val="TableContents"/>
              <w:bidi w:val="0"/>
              <w:spacing w:before="0" w:after="283"/>
              <w:jc w:val="center"/>
              <w:rPr/>
            </w:pPr>
            <w:r>
              <w:rPr/>
              <w:t>8050 SW Tenth Street, Suite 4000</w:t>
            </w:r>
          </w:p>
        </w:tc>
        <w:tc>
          <w:tcPr>
            <w:tcW w:w="1070" w:type="dxa"/>
            <w:tcBorders/>
            <w:vAlign w:val="center"/>
          </w:tcPr>
          <w:p>
            <w:pPr>
              <w:pStyle w:val="TableContents"/>
              <w:bidi w:val="0"/>
              <w:spacing w:before="0" w:after="283"/>
              <w:jc w:val="left"/>
              <w:rPr/>
            </w:pPr>
            <w:r>
              <w:rPr/>
              <w:t> </w:t>
            </w:r>
          </w:p>
        </w:tc>
      </w:tr>
      <w:tr>
        <w:trPr/>
        <w:tc>
          <w:tcPr>
            <w:tcW w:w="3860" w:type="dxa"/>
            <w:tcBorders>
              <w:bottom w:val="single" w:sz="2" w:space="0" w:color="000000"/>
            </w:tcBorders>
            <w:tcMar>
              <w:bottom w:w="28" w:type="dxa"/>
            </w:tcMar>
            <w:vAlign w:val="center"/>
          </w:tcPr>
          <w:p>
            <w:pPr>
              <w:pStyle w:val="TableContents"/>
              <w:bidi w:val="0"/>
              <w:spacing w:before="0" w:after="283"/>
              <w:jc w:val="center"/>
              <w:rPr/>
            </w:pPr>
            <w:r>
              <w:rPr/>
              <w:t>Fort Lauderdale, Florida</w:t>
            </w:r>
          </w:p>
        </w:tc>
        <w:tc>
          <w:tcPr>
            <w:tcW w:w="1070" w:type="dxa"/>
            <w:tcBorders>
              <w:bottom w:val="single" w:sz="2" w:space="0" w:color="000000"/>
            </w:tcBorders>
            <w:tcMar>
              <w:bottom w:w="28" w:type="dxa"/>
            </w:tcMar>
            <w:vAlign w:val="center"/>
          </w:tcPr>
          <w:p>
            <w:pPr>
              <w:pStyle w:val="TableContents"/>
              <w:bidi w:val="0"/>
              <w:spacing w:before="0" w:after="283"/>
              <w:jc w:val="center"/>
              <w:rPr/>
            </w:pPr>
            <w:r>
              <w:rPr/>
              <w:t>33324</w:t>
            </w:r>
          </w:p>
        </w:tc>
      </w:tr>
      <w:tr>
        <w:trPr/>
        <w:tc>
          <w:tcPr>
            <w:tcW w:w="3860" w:type="dxa"/>
            <w:tcBorders/>
            <w:vAlign w:val="center"/>
          </w:tcPr>
          <w:p>
            <w:pPr>
              <w:pStyle w:val="TableContents"/>
              <w:bidi w:val="0"/>
              <w:spacing w:before="0" w:after="283"/>
              <w:jc w:val="center"/>
              <w:rPr/>
            </w:pPr>
            <w:r>
              <w:rPr/>
              <w:t>(Address of Principal Executive Offices)</w:t>
            </w:r>
          </w:p>
        </w:tc>
        <w:tc>
          <w:tcPr>
            <w:tcW w:w="107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(954) 581-0922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60"/>
        <w:gridCol w:w="7550"/>
      </w:tblGrid>
      <w:tr>
        <w:trPr/>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60"/>
        <w:gridCol w:w="7580"/>
      </w:tblGrid>
      <w:tr>
        <w:trPr/>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80" w:type="dxa"/>
        <w:jc w:val="left"/>
        <w:tblInd w:w="0" w:type="dxa"/>
        <w:tblLayout w:type="fixed"/>
        <w:tblCellMar>
          <w:top w:w="0" w:type="dxa"/>
          <w:left w:w="0" w:type="dxa"/>
          <w:bottom w:w="0" w:type="dxa"/>
          <w:right w:w="0" w:type="dxa"/>
        </w:tblCellMar>
      </w:tblPr>
      <w:tblGrid>
        <w:gridCol w:w="60"/>
        <w:gridCol w:w="9320"/>
      </w:tblGrid>
      <w:tr>
        <w:trPr/>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20" w:type="dxa"/>
        <w:jc w:val="left"/>
        <w:tblInd w:w="0" w:type="dxa"/>
        <w:tblLayout w:type="fixed"/>
        <w:tblCellMar>
          <w:top w:w="0" w:type="dxa"/>
          <w:left w:w="0" w:type="dxa"/>
          <w:bottom w:w="0" w:type="dxa"/>
          <w:right w:w="0" w:type="dxa"/>
        </w:tblCellMar>
      </w:tblPr>
      <w:tblGrid>
        <w:gridCol w:w="60"/>
        <w:gridCol w:w="9260"/>
      </w:tblGrid>
      <w:tr>
        <w:trPr/>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ind w:left="0" w:right="0" w:hanging="0"/>
              <w:jc w:val="both"/>
              <w:rPr/>
            </w:pPr>
            <w:r>
              <w:rPr/>
              <w:t xml:space="preserve">☐ </w:t>
            </w: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675" w:type="dxa"/>
        <w:jc w:val="left"/>
        <w:tblInd w:w="0" w:type="dxa"/>
        <w:tblLayout w:type="fixed"/>
        <w:tblCellMar>
          <w:top w:w="0" w:type="dxa"/>
          <w:left w:w="0" w:type="dxa"/>
          <w:bottom w:w="0" w:type="dxa"/>
          <w:right w:w="0" w:type="dxa"/>
        </w:tblCellMar>
      </w:tblPr>
      <w:tblGrid>
        <w:gridCol w:w="3890"/>
        <w:gridCol w:w="1565"/>
        <w:gridCol w:w="4220"/>
      </w:tblGrid>
      <w:tr>
        <w:trPr/>
        <w:tc>
          <w:tcPr>
            <w:tcW w:w="3890" w:type="dxa"/>
            <w:tcBorders/>
            <w:vAlign w:val="center"/>
          </w:tcPr>
          <w:p>
            <w:pPr>
              <w:pStyle w:val="TableContents"/>
              <w:bidi w:val="0"/>
              <w:spacing w:before="0" w:after="283"/>
              <w:jc w:val="center"/>
              <w:rPr>
                <w:u w:val="single"/>
              </w:rPr>
            </w:pPr>
            <w:r>
              <w:rPr>
                <w:u w:val="single"/>
              </w:rPr>
              <w:t>Title of each Class</w:t>
            </w:r>
          </w:p>
        </w:tc>
        <w:tc>
          <w:tcPr>
            <w:tcW w:w="1565" w:type="dxa"/>
            <w:tcBorders/>
            <w:vAlign w:val="center"/>
          </w:tcPr>
          <w:p>
            <w:pPr>
              <w:pStyle w:val="TableContents"/>
              <w:bidi w:val="0"/>
              <w:spacing w:before="0" w:after="283"/>
              <w:jc w:val="center"/>
              <w:rPr>
                <w:u w:val="single"/>
              </w:rPr>
            </w:pPr>
            <w:r>
              <w:rPr>
                <w:u w:val="single"/>
              </w:rPr>
              <w:t>Trading Symbol</w:t>
            </w:r>
          </w:p>
        </w:tc>
        <w:tc>
          <w:tcPr>
            <w:tcW w:w="4220" w:type="dxa"/>
            <w:tcBorders/>
            <w:vAlign w:val="center"/>
          </w:tcPr>
          <w:p>
            <w:pPr>
              <w:pStyle w:val="TableContents"/>
              <w:bidi w:val="0"/>
              <w:spacing w:before="0" w:after="283"/>
              <w:jc w:val="center"/>
              <w:rPr>
                <w:u w:val="single"/>
              </w:rPr>
            </w:pPr>
            <w:r>
              <w:rPr>
                <w:u w:val="single"/>
              </w:rPr>
              <w:t>Name of each exchange on which registered</w:t>
            </w:r>
          </w:p>
        </w:tc>
      </w:tr>
      <w:tr>
        <w:trPr/>
        <w:tc>
          <w:tcPr>
            <w:tcW w:w="3890" w:type="dxa"/>
            <w:tcBorders/>
            <w:vAlign w:val="center"/>
          </w:tcPr>
          <w:p>
            <w:pPr>
              <w:pStyle w:val="TableContents"/>
              <w:bidi w:val="0"/>
              <w:spacing w:before="0" w:after="283"/>
              <w:jc w:val="center"/>
              <w:rPr/>
            </w:pPr>
            <w:r>
              <w:rPr/>
              <w:t>Common Stock, par value $.01 per share</w:t>
            </w:r>
          </w:p>
        </w:tc>
        <w:tc>
          <w:tcPr>
            <w:tcW w:w="1565" w:type="dxa"/>
            <w:tcBorders/>
            <w:vAlign w:val="center"/>
          </w:tcPr>
          <w:p>
            <w:pPr>
              <w:pStyle w:val="TableContents"/>
              <w:bidi w:val="0"/>
              <w:spacing w:before="0" w:after="283"/>
              <w:jc w:val="center"/>
              <w:rPr/>
            </w:pPr>
            <w:r>
              <w:rPr/>
              <w:t>FIZZ</w:t>
            </w:r>
          </w:p>
        </w:tc>
        <w:tc>
          <w:tcPr>
            <w:tcW w:w="4220" w:type="dxa"/>
            <w:tcBorders/>
            <w:vAlign w:val="center"/>
          </w:tcPr>
          <w:p>
            <w:pPr>
              <w:pStyle w:val="TableContents"/>
              <w:bidi w:val="0"/>
              <w:spacing w:before="0" w:after="283"/>
              <w:jc w:val="center"/>
              <w:rPr/>
            </w:pPr>
            <w:r>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 2026, National Beverage Corp. (the “Company”) issued a press release announcing financial results for its fiscal year ended May 2, 2026. The press release is furnished herewith as Exhibit 99.1 and is incorporated herein by reference. 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 2026, the Company announced a special cash dividend of $3.25 per share to shareholders of record on July 13, 2026 to be paid on or before July 30, 2026. The special dividend marks the thirteenth cash payment to FIZZ holders in the past 22 years, distributing $19.78 per share, or over $1.8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 </w:t>
      </w:r>
      <w:hyperlink w:anchor="ex_984143.htm">
        <w:r>
          <w:rPr>
            <w:rStyle w:val="InternetLink"/>
            <w:rFonts w:ascii="Times New Roman" w:hAnsi="Times New Roman"/>
            <w:caps w:val="false"/>
            <w:smallCaps w:val="false"/>
            <w:sz w:val="20"/>
          </w:rPr>
          <w:t>Exhibit 99.1 Press release dated July 1, 2026.</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104         Cover Page Interactive Data File (formatted as Inline XBRL)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National Beverage Corp.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By:    </w:t>
      </w:r>
      <w:r>
        <w:rPr>
          <w:rFonts w:ascii="Times New Roman" w:hAnsi="Times New Roman"/>
          <w:caps w:val="false"/>
          <w:smallCaps w:val="false"/>
          <w:sz w:val="20"/>
          <w:u w:val="single"/>
        </w:rPr>
        <w:t>/s/ George R. Bracken</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George R. Bracken</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 – Finance</w:t>
      </w:r>
    </w:p>
    <w:p>
      <w:pPr>
        <w:pStyle w:val="TextBody"/>
        <w:bidi w:val="0"/>
        <w:spacing w:before="0" w:after="0"/>
        <w:ind w:left="64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84143.htm"/>
      <w:bookmarkStart w:id="3" w:name="ksex_984143"/>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tbl>
      <w:tblPr>
        <w:tblW w:w="7950" w:type="dxa"/>
        <w:jc w:val="left"/>
        <w:tblInd w:w="0" w:type="dxa"/>
        <w:tblLayout w:type="fixed"/>
        <w:tblCellMar>
          <w:top w:w="0" w:type="dxa"/>
          <w:left w:w="0" w:type="dxa"/>
          <w:bottom w:w="28" w:type="dxa"/>
          <w:right w:w="0" w:type="dxa"/>
        </w:tblCellMar>
      </w:tblPr>
      <w:tblGrid>
        <w:gridCol w:w="2700"/>
        <w:gridCol w:w="5250"/>
      </w:tblGrid>
      <w:tr>
        <w:trPr/>
        <w:tc>
          <w:tcPr>
            <w:tcW w:w="2700" w:type="dxa"/>
            <w:vMerge w:val="restart"/>
            <w:tcBorders>
              <w:bottom w:val="single" w:sz="12" w:space="0" w:color="000000"/>
            </w:tcBorders>
            <w:vAlign w:val="center"/>
          </w:tcPr>
          <w:p>
            <w:pPr>
              <w:pStyle w:val="TableContents"/>
              <w:bidi w:val="0"/>
              <w:spacing w:before="0" w:after="0"/>
              <w:jc w:val="left"/>
              <w:rPr/>
            </w:pPr>
            <w:r>
              <w:rPr/>
              <w:drawing>
                <wp:inline distT="0" distB="0" distL="0" distR="0">
                  <wp:extent cx="1714500" cy="1514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1514475"/>
                          </a:xfrm>
                          <a:prstGeom prst="rect">
                            <a:avLst/>
                          </a:prstGeom>
                        </pic:spPr>
                      </pic:pic>
                    </a:graphicData>
                  </a:graphic>
                </wp:inline>
              </w:drawing>
            </w:r>
          </w:p>
        </w:tc>
        <w:tc>
          <w:tcPr>
            <w:tcW w:w="5250" w:type="dxa"/>
            <w:tcBorders/>
            <w:tcMar>
              <w:bottom w:w="0" w:type="dxa"/>
            </w:tcMar>
            <w:vAlign w:val="center"/>
          </w:tcPr>
          <w:p>
            <w:pPr>
              <w:pStyle w:val="TableContents"/>
              <w:bidi w:val="0"/>
              <w:spacing w:before="0" w:after="0"/>
              <w:jc w:val="left"/>
              <w:rPr/>
            </w:pPr>
            <w:r>
              <w:rPr/>
              <w:drawing>
                <wp:inline distT="0" distB="0" distL="0" distR="0">
                  <wp:extent cx="3333750" cy="1085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1085850"/>
                          </a:xfrm>
                          <a:prstGeom prst="rect">
                            <a:avLst/>
                          </a:prstGeom>
                        </pic:spPr>
                      </pic:pic>
                    </a:graphicData>
                  </a:graphic>
                </wp:inline>
              </w:drawing>
            </w:r>
          </w:p>
        </w:tc>
      </w:tr>
      <w:tr>
        <w:trPr/>
        <w:tc>
          <w:tcPr>
            <w:tcW w:w="2700" w:type="dxa"/>
            <w:vMerge w:val="continue"/>
            <w:tcBorders>
              <w:bottom w:val="single" w:sz="12" w:space="0" w:color="000000"/>
            </w:tcBorders>
            <w:vAlign w:val="center"/>
          </w:tcPr>
          <w:p>
            <w:pPr>
              <w:pStyle w:val="Normal"/>
              <w:bidi w:val="0"/>
              <w:jc w:val="left"/>
              <w:rPr/>
            </w:pPr>
            <w:r>
              <w:rPr/>
            </w:r>
          </w:p>
        </w:tc>
        <w:tc>
          <w:tcPr>
            <w:tcW w:w="5250" w:type="dxa"/>
            <w:tcBorders>
              <w:bottom w:val="single" w:sz="1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FIZZ</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Immediate Release</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 Office of the Chairman, Grace Keene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 xml:space="preserve">NATIONAL BEVERAGE CORP.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CELEBRATES AMERICA WITH SPECIAL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360"/>
        <w:jc w:val="center"/>
        <w:rPr>
          <w:rFonts w:ascii="Times New Roman" w:hAnsi="Times New Roman"/>
          <w:b/>
          <w:caps w:val="false"/>
          <w:smallCaps w:val="false"/>
          <w:sz w:val="24"/>
        </w:rPr>
      </w:pPr>
      <w:r>
        <w:rPr>
          <w:rFonts w:ascii="Times New Roman" w:hAnsi="Times New Roman"/>
          <w:b/>
          <w:caps w:val="false"/>
          <w:smallCaps w:val="false"/>
          <w:sz w:val="24"/>
        </w:rPr>
        <w:t xml:space="preserve">and REPORTS FY 2026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FORT LAUDERDALE, FL, July 1, 2026 . . . National Beverage Corp. (NASDAQ: FIZZ) today announced its Board of Directors has declared a special cash dividend of $3.25 per share to shareholders of record on July 13, 2026 to be paid on or before July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This special dividend marks the thirteenth cash payment to FIZZ holders in the past 22 years, distributing $19.78 per share, or over $1.8 billion. Thirteen special dividends in twenty-two years seems to have a regular cadence,</w:t>
      </w:r>
      <w:r>
        <w:rPr>
          <w:rFonts w:ascii="Times New Roman" w:hAnsi="Times New Roman"/>
          <w:caps w:val="false"/>
          <w:smallCaps w:val="false"/>
          <w:sz w:val="24"/>
        </w:rPr>
        <w:t xml:space="preserve">” </w:t>
      </w:r>
      <w:r>
        <w:rPr>
          <w:rFonts w:ascii="Times New Roman" w:hAnsi="Times New Roman"/>
          <w:b/>
          <w:caps w:val="false"/>
          <w:smallCaps w:val="false"/>
          <w:sz w:val="24"/>
        </w:rPr>
        <w:t>asserted a company spokesperson.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Since its founding more than forty years ago as a small beverage company with an uncertain future, National Beverage has grown into one of America</w:t>
      </w:r>
      <w:r>
        <w:rPr>
          <w:rFonts w:ascii="Times New Roman" w:hAnsi="Times New Roman"/>
          <w:caps w:val="false"/>
          <w:smallCaps w:val="false"/>
          <w:sz w:val="24"/>
        </w:rPr>
        <w:t>’</w:t>
      </w:r>
      <w:r>
        <w:rPr>
          <w:rFonts w:ascii="Times New Roman" w:hAnsi="Times New Roman"/>
          <w:b/>
          <w:caps w:val="false"/>
          <w:smallCaps w:val="false"/>
          <w:sz w:val="24"/>
        </w:rPr>
        <w:t xml:space="preserve">s most innovative and respected beverage companies </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a testament to entrepreneurial vision, disciplined execution and a steadfast commitment to consumers and shareholders alike </w:t>
      </w:r>
      <w:r>
        <w:rPr>
          <w:rFonts w:ascii="Times New Roman" w:hAnsi="Times New Roman"/>
          <w:caps w:val="false"/>
          <w:smallCaps w:val="false"/>
          <w:sz w:val="24"/>
        </w:rPr>
        <w:t xml:space="preserve">– </w:t>
      </w:r>
      <w:r>
        <w:rPr>
          <w:rFonts w:ascii="Times New Roman" w:hAnsi="Times New Roman"/>
          <w:b/>
          <w:caps w:val="false"/>
          <w:smallCaps w:val="false"/>
          <w:sz w:val="24"/>
        </w:rPr>
        <w:t>a true American success story! As our nation approaches the 250th</w:t>
      </w:r>
      <w:r>
        <w:rPr>
          <w:rFonts w:ascii="Times New Roman" w:hAnsi="Times New Roman"/>
          <w:caps w:val="false"/>
          <w:smallCaps w:val="false"/>
          <w:sz w:val="24"/>
        </w:rPr>
        <w:t xml:space="preserve"> </w:t>
      </w:r>
      <w:r>
        <w:rPr>
          <w:rFonts w:ascii="Times New Roman" w:hAnsi="Times New Roman"/>
          <w:b/>
          <w:caps w:val="false"/>
          <w:smallCaps w:val="false"/>
          <w:sz w:val="24"/>
        </w:rPr>
        <w:t>anniversary of its founding, National Beverage proudly reflects on the principles of independence, innovation and opportunity that have contributed to both our country</w:t>
      </w:r>
      <w:r>
        <w:rPr>
          <w:rFonts w:ascii="Times New Roman" w:hAnsi="Times New Roman"/>
          <w:caps w:val="false"/>
          <w:smallCaps w:val="false"/>
          <w:sz w:val="24"/>
        </w:rPr>
        <w:t>’</w:t>
      </w:r>
      <w:r>
        <w:rPr>
          <w:rFonts w:ascii="Times New Roman" w:hAnsi="Times New Roman"/>
          <w:b/>
          <w:caps w:val="false"/>
          <w:smallCaps w:val="false"/>
          <w:sz w:val="24"/>
        </w:rPr>
        <w:t>s success and our Company</w:t>
      </w:r>
      <w:r>
        <w:rPr>
          <w:rFonts w:ascii="Times New Roman" w:hAnsi="Times New Roman"/>
          <w:caps w:val="false"/>
          <w:smallCaps w:val="false"/>
          <w:sz w:val="24"/>
        </w:rPr>
        <w:t>’</w:t>
      </w:r>
      <w:r>
        <w:rPr>
          <w:rFonts w:ascii="Times New Roman" w:hAnsi="Times New Roman"/>
          <w:b/>
          <w:caps w:val="false"/>
          <w:smallCaps w:val="false"/>
          <w:sz w:val="24"/>
        </w:rPr>
        <w:t>s growth. Through our brand LaCroix, we continue to offer consumers healthier beverage choices that align with today</w:t>
      </w:r>
      <w:r>
        <w:rPr>
          <w:rFonts w:ascii="Times New Roman" w:hAnsi="Times New Roman"/>
          <w:caps w:val="false"/>
          <w:smallCaps w:val="false"/>
          <w:sz w:val="24"/>
        </w:rPr>
        <w:t>’</w:t>
      </w:r>
      <w:r>
        <w:rPr>
          <w:rFonts w:ascii="Times New Roman" w:hAnsi="Times New Roman"/>
          <w:b/>
          <w:caps w:val="false"/>
          <w:smallCaps w:val="false"/>
          <w:sz w:val="24"/>
        </w:rPr>
        <w:t>s evolving lifestyles and preferences. In recognition of this historic milestone and as a reflection of our continued commitment to creating shareholder value, we are proud to commemorate America</w:t>
      </w:r>
      <w:r>
        <w:rPr>
          <w:rFonts w:ascii="Times New Roman" w:hAnsi="Times New Roman"/>
          <w:caps w:val="false"/>
          <w:smallCaps w:val="false"/>
          <w:sz w:val="24"/>
        </w:rPr>
        <w:t>’</w:t>
      </w:r>
      <w:r>
        <w:rPr>
          <w:rFonts w:ascii="Times New Roman" w:hAnsi="Times New Roman"/>
          <w:b/>
          <w:caps w:val="false"/>
          <w:smallCaps w:val="false"/>
          <w:sz w:val="24"/>
        </w:rPr>
        <w:t>s 250th birthday with this special dividend to FIZZ holders and a special salute to our Founder and Chairman as one of America</w:t>
      </w:r>
      <w:r>
        <w:rPr>
          <w:rFonts w:ascii="Times New Roman" w:hAnsi="Times New Roman"/>
          <w:caps w:val="false"/>
          <w:smallCaps w:val="false"/>
          <w:sz w:val="24"/>
        </w:rPr>
        <w:t>’</w:t>
      </w:r>
      <w:r>
        <w:rPr>
          <w:rFonts w:ascii="Times New Roman" w:hAnsi="Times New Roman"/>
          <w:b/>
          <w:caps w:val="false"/>
          <w:smallCaps w:val="false"/>
          <w:sz w:val="24"/>
        </w:rPr>
        <w:t>s Greatest Self-Made Americans,</w:t>
      </w:r>
      <w:r>
        <w:rPr>
          <w:rFonts w:ascii="Times New Roman" w:hAnsi="Times New Roman"/>
          <w:caps w:val="false"/>
          <w:smallCaps w:val="false"/>
          <w:sz w:val="24"/>
        </w:rPr>
        <w:t xml:space="preserve">” </w:t>
      </w:r>
      <w:r>
        <w:rPr>
          <w:rFonts w:ascii="Times New Roman" w:hAnsi="Times New Roman"/>
          <w:b/>
          <w:caps w:val="false"/>
          <w:smallCaps w:val="false"/>
          <w:sz w:val="24"/>
        </w:rPr>
        <w:t>stated a company spokesperson.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jc w:val="right"/>
        <w:rPr/>
      </w:pPr>
      <w:r>
        <w:rPr/>
        <w:drawing>
          <wp:inline distT="0" distB="0" distL="0" distR="0">
            <wp:extent cx="2438400" cy="426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38400" cy="4267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rPr>
      </w:pPr>
      <w:r>
        <w:rPr>
          <w:rFonts w:ascii="Times New Roman" w:hAnsi="Times New Roman"/>
          <w:b/>
          <w:caps w:val="false"/>
          <w:smallCaps w:val="false"/>
          <w:sz w:val="24"/>
          <w:u w:val="single"/>
        </w:rPr>
        <w:t>FISCAL 2026 (52 weeks ended May 2, 2026)</w:t>
      </w:r>
      <w:r>
        <w:rPr>
          <w:rFonts w:ascii="Times New Roman" w:hAnsi="Times New Roman"/>
          <w:caps w:val="false"/>
          <w:smallCaps w:val="false"/>
          <w:sz w:val="24"/>
          <w:u w:val="single"/>
        </w:rPr>
        <w:t xml:space="preserve"> </w:t>
      </w:r>
      <w:r>
        <w:rPr>
          <w:rFonts w:ascii="Times New Roman" w:hAnsi="Times New Roman"/>
          <w:b/>
          <w:caps w:val="false"/>
          <w:smallCaps w:val="false"/>
          <w:sz w:val="24"/>
          <w:u w:val="single"/>
        </w:rPr>
        <w:t>vs. Fiscal 2025 (53 weeks ended May 3, 2025):</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 xml:space="preserve">Net sales were $1.2 billion; </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60"/>
        <w:gridCol w:w="170"/>
        <w:gridCol w:w="7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80"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Gross profit of $437 million reflects a 37% margin consistent in both years;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 xml:space="preserve">Earnings per share of $1.96 was a decline of $.04 to the prior year; and </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170"/>
        <w:gridCol w:w="4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10" w:type="dxa"/>
            <w:tcBorders/>
            <w:vAlign w:val="center"/>
          </w:tcPr>
          <w:p>
            <w:pPr>
              <w:pStyle w:val="TableContents"/>
              <w:bidi w:val="0"/>
              <w:spacing w:before="0" w:after="0"/>
              <w:ind w:left="0" w:right="0" w:hanging="0"/>
              <w:jc w:val="both"/>
              <w:rPr>
                <w:rFonts w:ascii="Times New Roman" w:hAnsi="Times New Roman"/>
                <w:b/>
                <w:caps w:val="false"/>
                <w:smallCaps w:val="false"/>
                <w:sz w:val="24"/>
              </w:rPr>
            </w:pPr>
            <w:r>
              <w:rPr>
                <w:rFonts w:ascii="Times New Roman" w:hAnsi="Times New Roman"/>
                <w:b/>
                <w:caps w:val="false"/>
                <w:smallCaps w:val="false"/>
                <w:sz w:val="24"/>
              </w:rPr>
              <w:t>Cash grew $156 million to $350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While geopolitical tensions and economic uncertainties continue to impact businesses and consumers worldwide, we remain as well-positioned as ever to maintain a healthy, profitable and sustainable future.</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 xml:space="preserve">The continued success of our brands reflects the exceptional creativity, imagination and product development capabilities that have long distinguished our Company. Innovation remains the driving force behind our success and continues to be key in driving incremental demand and expanding consumption occasions. New product introductions, supported by vibrant consumer engagement, impactful merchandising displays, and targeted marketing initiatives, continue to strengthen our brands and reinforce our competitive position in an increasingly value-conscious marketplace. </w:t>
      </w:r>
      <w:r>
        <w:rPr>
          <w:rFonts w:ascii="Times New Roman" w:hAnsi="Times New Roman"/>
          <w:b/>
          <w:i/>
          <w:caps w:val="false"/>
          <w:smallCaps w:val="false"/>
          <w:sz w:val="24"/>
        </w:rPr>
        <w:t>PineApple CocoNut</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continues to expand distribution and deliver strong velocity gains, while </w:t>
      </w:r>
      <w:r>
        <w:rPr>
          <w:rFonts w:ascii="Times New Roman" w:hAnsi="Times New Roman"/>
          <w:b/>
          <w:i/>
          <w:caps w:val="false"/>
          <w:smallCaps w:val="false"/>
          <w:sz w:val="24"/>
        </w:rPr>
        <w:t>Strawberry Peach</w:t>
      </w:r>
      <w:r>
        <w:rPr>
          <w:rFonts w:ascii="Times New Roman" w:hAnsi="Times New Roman"/>
          <w:caps w:val="false"/>
          <w:smallCaps w:val="false"/>
          <w:sz w:val="24"/>
        </w:rPr>
        <w:t xml:space="preserve"> </w:t>
      </w:r>
      <w:r>
        <w:rPr>
          <w:rFonts w:ascii="Times New Roman" w:hAnsi="Times New Roman"/>
          <w:b/>
          <w:caps w:val="false"/>
          <w:smallCaps w:val="false"/>
          <w:sz w:val="24"/>
        </w:rPr>
        <w:t>has become one of the highest-velocity flavors in our portfolio, reflecting both the power of our brands and the effectiveness of our unique operating model. Our commitment to innovation, disciplined execution, and brand excellence positions us well for future growth. As we pursue volume growth, improve product mix, and capitalize on new opportunities, we continue to build shareholder value from a position of exceptional financial strength. Our fortress balance sheet provides the flexibility and confidence to pursue growth while navigating changing economic conditions.</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Looking ahead, we are encouraged by improving market dynamics, including lower commodity costs and greater consumer spending flexibility. We believe these factors, combined with the momentum of our brands, create a favorable environment for enhanced performance. Our dividend declaration is a clear expression of our confidence in the future and our ongoing commitment to creating long-term value for our shareholders.</w:t>
      </w:r>
      <w:r>
        <w:rPr>
          <w:rFonts w:ascii="Times New Roman" w:hAnsi="Times New Roman"/>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jc w:val="right"/>
        <w:rPr/>
      </w:pPr>
      <w:r>
        <w:rPr/>
        <w:drawing>
          <wp:inline distT="0" distB="0" distL="0" distR="0">
            <wp:extent cx="2438400" cy="4267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438400" cy="4267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Not only are we recognized for our innovative and flavorful beverages, but also for providing employment and supporting communities throughout the U.S. As we celebrate our dividend declaration and nation</w:t>
      </w:r>
      <w:r>
        <w:rPr>
          <w:rFonts w:ascii="Times New Roman" w:hAnsi="Times New Roman"/>
          <w:caps w:val="false"/>
          <w:smallCaps w:val="false"/>
          <w:sz w:val="24"/>
        </w:rPr>
        <w:t>’</w:t>
      </w:r>
      <w:r>
        <w:rPr>
          <w:rFonts w:ascii="Times New Roman" w:hAnsi="Times New Roman"/>
          <w:b/>
          <w:caps w:val="false"/>
          <w:smallCaps w:val="false"/>
          <w:sz w:val="24"/>
        </w:rPr>
        <w:t>s 250 years of independence, we wish to thank our loyal consumers, team members and shareholders for their trust and support. We deeply value this trust and remain committed to delivering strong results and long-term value.</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4"/>
        </w:rPr>
        <w:t>Additionally, in honor of America</w:t>
      </w:r>
      <w:r>
        <w:rPr>
          <w:rFonts w:ascii="Times New Roman" w:hAnsi="Times New Roman"/>
          <w:caps w:val="false"/>
          <w:smallCaps w:val="false"/>
          <w:sz w:val="24"/>
        </w:rPr>
        <w:t>’</w:t>
      </w:r>
      <w:r>
        <w:rPr>
          <w:rFonts w:ascii="Times New Roman" w:hAnsi="Times New Roman"/>
          <w:b/>
          <w:caps w:val="false"/>
          <w:smallCaps w:val="false"/>
          <w:sz w:val="24"/>
        </w:rPr>
        <w:t xml:space="preserve">s semi-quincentennial, </w:t>
      </w:r>
      <w:r>
        <w:rPr>
          <w:rFonts w:ascii="Times New Roman" w:hAnsi="Times New Roman"/>
          <w:b/>
          <w:i/>
          <w:caps w:val="false"/>
          <w:smallCaps w:val="false"/>
          <w:sz w:val="24"/>
        </w:rPr>
        <w:t>Forbes</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felt </w:t>
      </w:r>
      <w:r>
        <w:rPr>
          <w:rFonts w:ascii="Times New Roman" w:hAnsi="Times New Roman"/>
          <w:caps w:val="false"/>
          <w:smallCaps w:val="false"/>
          <w:sz w:val="24"/>
        </w:rPr>
        <w:t>‘</w:t>
      </w:r>
      <w:r>
        <w:rPr>
          <w:rFonts w:ascii="Times New Roman" w:hAnsi="Times New Roman"/>
          <w:b/>
          <w:caps w:val="false"/>
          <w:smallCaps w:val="false"/>
          <w:sz w:val="24"/>
        </w:rPr>
        <w:t>uniquely qualified to rank the 250 greatest living self-made Americans.</w:t>
      </w:r>
      <w:r>
        <w:rPr>
          <w:rFonts w:ascii="Times New Roman" w:hAnsi="Times New Roman"/>
          <w:caps w:val="false"/>
          <w:smallCaps w:val="false"/>
          <w:sz w:val="24"/>
        </w:rPr>
        <w:t xml:space="preserve">’ </w:t>
      </w:r>
      <w:r>
        <w:rPr>
          <w:rFonts w:ascii="Times New Roman" w:hAnsi="Times New Roman"/>
          <w:b/>
          <w:caps w:val="false"/>
          <w:smallCaps w:val="false"/>
          <w:sz w:val="24"/>
        </w:rPr>
        <w:t xml:space="preserve">We are proud to announce that our Founder and Chairman, Nick A. Caporella, was named to this illustrious list in recognition of his extraordinary American journey as . . . </w:t>
      </w:r>
      <w:r>
        <w:rPr>
          <w:rFonts w:ascii="Times New Roman" w:hAnsi="Times New Roman"/>
          <w:caps w:val="false"/>
          <w:smallCaps w:val="false"/>
          <w:sz w:val="24"/>
        </w:rPr>
        <w:t>‘</w:t>
      </w:r>
      <w:r>
        <w:rPr>
          <w:rFonts w:ascii="Times New Roman" w:hAnsi="Times New Roman"/>
          <w:b/>
          <w:caps w:val="false"/>
          <w:smallCaps w:val="false"/>
          <w:sz w:val="24"/>
        </w:rPr>
        <w:t>the coal-miner</w:t>
      </w:r>
      <w:r>
        <w:rPr>
          <w:rFonts w:ascii="Times New Roman" w:hAnsi="Times New Roman"/>
          <w:caps w:val="false"/>
          <w:smallCaps w:val="false"/>
          <w:sz w:val="24"/>
        </w:rPr>
        <w:t>’</w:t>
      </w:r>
      <w:r>
        <w:rPr>
          <w:rFonts w:ascii="Times New Roman" w:hAnsi="Times New Roman"/>
          <w:b/>
          <w:caps w:val="false"/>
          <w:smallCaps w:val="false"/>
          <w:sz w:val="24"/>
        </w:rPr>
        <w:t>s son that started in construction before turning LaCroix into a category-defining sparkling water brand.</w:t>
      </w:r>
      <w:r>
        <w:rPr>
          <w:rFonts w:ascii="Times New Roman" w:hAnsi="Times New Roman"/>
          <w:caps w:val="false"/>
          <w:smallCaps w:val="false"/>
          <w:sz w:val="24"/>
        </w:rPr>
        <w:t xml:space="preserve">’ </w:t>
      </w:r>
      <w:r>
        <w:rPr>
          <w:rFonts w:ascii="Times New Roman" w:hAnsi="Times New Roman"/>
          <w:b/>
          <w:caps w:val="false"/>
          <w:smallCaps w:val="false"/>
          <w:sz w:val="24"/>
        </w:rPr>
        <w:t>A very proud and grateful Team National congratulates Nick for this outstanding honor!</w:t>
      </w:r>
      <w:r>
        <w:rPr>
          <w:rFonts w:ascii="Times New Roman" w:hAnsi="Times New Roman"/>
          <w:caps w:val="false"/>
          <w:smallCaps w:val="false"/>
          <w:sz w:val="24"/>
        </w:rPr>
        <w:t xml:space="preserve">” </w:t>
      </w:r>
      <w:r>
        <w:rPr>
          <w:rFonts w:ascii="Times New Roman" w:hAnsi="Times New Roman"/>
          <w:b/>
          <w:caps w:val="false"/>
          <w:smallCaps w:val="false"/>
          <w:sz w:val="24"/>
        </w:rPr>
        <w:t>concluded the spokesperson.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 w:hAnsi="Times New Roman"/>
          <w:b/>
          <w:i/>
          <w:caps w:val="false"/>
          <w:smallCaps w:val="false"/>
          <w:sz w:val="24"/>
        </w:rPr>
        <w:t>Patriotism</w:t>
      </w:r>
      <w:r>
        <w:rPr>
          <w:rFonts w:ascii="Times New Roman" w:hAnsi="Times New Roman"/>
          <w:caps w:val="false"/>
          <w:smallCaps w:val="false"/>
          <w:sz w:val="24"/>
        </w:rPr>
        <w:t xml:space="preserve">” – </w:t>
      </w:r>
      <w:r>
        <w:rPr>
          <w:rFonts w:ascii="Times New Roman" w:hAnsi="Times New Roman"/>
          <w:b/>
          <w:i/>
          <w:caps w:val="false"/>
          <w:smallCaps w:val="false"/>
          <w:sz w:val="24"/>
        </w:rPr>
        <w:t>If Only We Could Bottle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524000" cy="993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24000" cy="993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-more-</w:t>
      </w:r>
    </w:p>
    <w:p>
      <w:pPr>
        <w:pStyle w:val="TextBody"/>
        <w:bidi w:val="0"/>
        <w:spacing w:before="0" w:after="0"/>
        <w:jc w:val="right"/>
        <w:rPr/>
      </w:pPr>
      <w:r>
        <w:rPr/>
        <w:drawing>
          <wp:inline distT="0" distB="0" distL="0" distR="0">
            <wp:extent cx="2438400" cy="4267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38400" cy="426720"/>
                    </a:xfrm>
                    <a:prstGeom prst="rect">
                      <a:avLst/>
                    </a:prstGeom>
                  </pic:spPr>
                </pic:pic>
              </a:graphicData>
            </a:graphic>
          </wp:inline>
        </w:drawing>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12" w:space="1" w:color="000000"/>
        </w:pBdr>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National Beverage Corp.</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National Beverage Corp.</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Results for the Periods Ended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May 2, 2026 and May 3,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800" w:type="dxa"/>
        <w:jc w:val="left"/>
        <w:tblInd w:w="0" w:type="dxa"/>
        <w:tblLayout w:type="fixed"/>
        <w:tblCellMar>
          <w:top w:w="0" w:type="dxa"/>
          <w:left w:w="0" w:type="dxa"/>
          <w:bottom w:w="0" w:type="dxa"/>
          <w:right w:w="0" w:type="dxa"/>
        </w:tblCellMar>
      </w:tblPr>
      <w:tblGrid>
        <w:gridCol w:w="3260"/>
        <w:gridCol w:w="60"/>
        <w:gridCol w:w="207"/>
        <w:gridCol w:w="1404"/>
        <w:gridCol w:w="99"/>
        <w:gridCol w:w="99"/>
        <w:gridCol w:w="207"/>
        <w:gridCol w:w="1404"/>
        <w:gridCol w:w="60"/>
      </w:tblGrid>
      <w:tr>
        <w:trPr/>
        <w:tc>
          <w:tcPr>
            <w:tcW w:w="3260"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342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bookmarkStart w:id="6" w:name=".trail.D3"/>
            <w:bookmarkEnd w:id="6"/>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7" w:name=".lead.D31"/>
            <w:bookmarkStart w:id="8" w:name=".lead.D32"/>
            <w:bookmarkEnd w:id="7"/>
            <w:bookmarkEnd w:id="8"/>
          </w:p>
        </w:tc>
        <w:tc>
          <w:tcPr>
            <w:tcW w:w="60" w:type="dxa"/>
            <w:tcBorders/>
            <w:vAlign w:val="center"/>
          </w:tcPr>
          <w:p>
            <w:pPr>
              <w:pStyle w:val="TableContents"/>
              <w:bidi w:val="0"/>
              <w:spacing w:before="0" w:after="283"/>
              <w:ind w:left="0" w:right="0" w:hanging="0"/>
              <w:jc w:val="left"/>
              <w:rPr/>
            </w:pPr>
            <w:r>
              <w:rPr/>
              <w:t> </w:t>
            </w:r>
            <w:bookmarkStart w:id="9" w:name=".amt.D31"/>
            <w:bookmarkStart w:id="10" w:name=".amt.D32"/>
            <w:bookmarkEnd w:id="9"/>
            <w:bookmarkEnd w:id="10"/>
          </w:p>
        </w:tc>
        <w:tc>
          <w:tcPr>
            <w:tcW w:w="342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Fiscal Year Ended </w:t>
            </w:r>
            <w:bookmarkStart w:id="11" w:name=".trail.D31"/>
            <w:bookmarkStart w:id="12" w:name=".trail.D32"/>
            <w:bookmarkEnd w:id="11"/>
            <w:bookmarkEnd w:id="12"/>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13" w:name=".lead.D2"/>
            <w:bookmarkEnd w:id="13"/>
          </w:p>
        </w:tc>
        <w:tc>
          <w:tcPr>
            <w:tcW w:w="60" w:type="dxa"/>
            <w:tcBorders/>
            <w:vAlign w:val="center"/>
          </w:tcPr>
          <w:p>
            <w:pPr>
              <w:pStyle w:val="TableContents"/>
              <w:bidi w:val="0"/>
              <w:spacing w:before="0" w:after="283"/>
              <w:ind w:left="0" w:right="0" w:hanging="0"/>
              <w:jc w:val="left"/>
              <w:rPr/>
            </w:pPr>
            <w:r>
              <w:rPr/>
              <w:t> </w:t>
            </w:r>
            <w:bookmarkStart w:id="14" w:name=".amt.D2"/>
            <w:bookmarkEnd w:id="14"/>
          </w:p>
        </w:tc>
        <w:tc>
          <w:tcPr>
            <w:tcW w:w="16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2, 2026</w:t>
            </w:r>
            <w:bookmarkStart w:id="15" w:name=".trail.D2"/>
            <w:bookmarkEnd w:id="15"/>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bookmarkStart w:id="16" w:name=".lead.D33"/>
            <w:bookmarkStart w:id="17" w:name=".lead.D34"/>
            <w:bookmarkEnd w:id="16"/>
            <w:bookmarkEnd w:id="17"/>
          </w:p>
        </w:tc>
        <w:tc>
          <w:tcPr>
            <w:tcW w:w="99" w:type="dxa"/>
            <w:tcBorders/>
            <w:vAlign w:val="center"/>
          </w:tcPr>
          <w:p>
            <w:pPr>
              <w:pStyle w:val="TableContents"/>
              <w:bidi w:val="0"/>
              <w:spacing w:before="0" w:after="283"/>
              <w:ind w:left="0" w:right="0" w:hanging="0"/>
              <w:jc w:val="left"/>
              <w:rPr/>
            </w:pPr>
            <w:r>
              <w:rPr/>
              <w:t> </w:t>
            </w:r>
            <w:bookmarkStart w:id="18" w:name=".amt.D33"/>
            <w:bookmarkStart w:id="19" w:name=".amt.D34"/>
            <w:bookmarkEnd w:id="18"/>
            <w:bookmarkEnd w:id="19"/>
          </w:p>
        </w:tc>
        <w:tc>
          <w:tcPr>
            <w:tcW w:w="16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 2025 *</w:t>
            </w:r>
            <w:bookmarkStart w:id="20" w:name=".trail.D33"/>
            <w:bookmarkStart w:id="21" w:name=".trail.D34"/>
            <w:bookmarkEnd w:id="20"/>
            <w:bookmarkEnd w:id="21"/>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22" w:name=".lead.B2"/>
            <w:bookmarkEnd w:id="22"/>
          </w:p>
        </w:tc>
        <w:tc>
          <w:tcPr>
            <w:tcW w:w="60" w:type="dxa"/>
            <w:tcBorders/>
            <w:vAlign w:val="center"/>
          </w:tcPr>
          <w:p>
            <w:pPr>
              <w:pStyle w:val="TableContents"/>
              <w:bidi w:val="0"/>
              <w:spacing w:before="0" w:after="283"/>
              <w:jc w:val="left"/>
              <w:rPr/>
            </w:pPr>
            <w:r>
              <w:rPr/>
              <w:t> </w:t>
            </w:r>
            <w:bookmarkStart w:id="23" w:name=".symb.B2"/>
            <w:bookmarkEnd w:id="23"/>
          </w:p>
        </w:tc>
        <w:tc>
          <w:tcPr>
            <w:tcW w:w="207" w:type="dxa"/>
            <w:tcBorders/>
            <w:vAlign w:val="center"/>
          </w:tcPr>
          <w:p>
            <w:pPr>
              <w:pStyle w:val="TableContents"/>
              <w:bidi w:val="0"/>
              <w:spacing w:before="0" w:after="283"/>
              <w:jc w:val="left"/>
              <w:rPr/>
            </w:pPr>
            <w:r>
              <w:rPr/>
              <w:t> </w:t>
            </w:r>
            <w:bookmarkStart w:id="24" w:name=".amt.B2"/>
            <w:bookmarkEnd w:id="24"/>
          </w:p>
        </w:tc>
        <w:tc>
          <w:tcPr>
            <w:tcW w:w="1404" w:type="dxa"/>
            <w:tcBorders/>
            <w:vAlign w:val="center"/>
          </w:tcPr>
          <w:p>
            <w:pPr>
              <w:pStyle w:val="TableContents"/>
              <w:bidi w:val="0"/>
              <w:spacing w:before="0" w:after="283"/>
              <w:jc w:val="left"/>
              <w:rPr/>
            </w:pPr>
            <w:r>
              <w:rPr/>
              <w:t> </w:t>
            </w:r>
            <w:bookmarkStart w:id="25" w:name=".trail.B2"/>
            <w:bookmarkEnd w:id="25"/>
          </w:p>
        </w:tc>
        <w:tc>
          <w:tcPr>
            <w:tcW w:w="99" w:type="dxa"/>
            <w:tcBorders/>
            <w:vAlign w:val="center"/>
          </w:tcPr>
          <w:p>
            <w:pPr>
              <w:pStyle w:val="TableContents"/>
              <w:bidi w:val="0"/>
              <w:spacing w:before="0" w:after="283"/>
              <w:jc w:val="left"/>
              <w:rPr/>
            </w:pPr>
            <w:r>
              <w:rPr/>
              <w:t> </w:t>
            </w:r>
            <w:bookmarkStart w:id="26" w:name=".lead.B3"/>
            <w:bookmarkEnd w:id="26"/>
          </w:p>
        </w:tc>
        <w:tc>
          <w:tcPr>
            <w:tcW w:w="99" w:type="dxa"/>
            <w:tcBorders/>
            <w:vAlign w:val="center"/>
          </w:tcPr>
          <w:p>
            <w:pPr>
              <w:pStyle w:val="TableContents"/>
              <w:bidi w:val="0"/>
              <w:spacing w:before="0" w:after="283"/>
              <w:jc w:val="left"/>
              <w:rPr/>
            </w:pPr>
            <w:r>
              <w:rPr/>
              <w:t> </w:t>
            </w:r>
            <w:bookmarkStart w:id="27" w:name=".symb.B3"/>
            <w:bookmarkEnd w:id="27"/>
          </w:p>
        </w:tc>
        <w:tc>
          <w:tcPr>
            <w:tcW w:w="207" w:type="dxa"/>
            <w:tcBorders/>
            <w:vAlign w:val="center"/>
          </w:tcPr>
          <w:p>
            <w:pPr>
              <w:pStyle w:val="TableContents"/>
              <w:bidi w:val="0"/>
              <w:spacing w:before="0" w:after="283"/>
              <w:jc w:val="left"/>
              <w:rPr/>
            </w:pPr>
            <w:r>
              <w:rPr/>
              <w:t> </w:t>
            </w:r>
            <w:bookmarkStart w:id="28" w:name=".amt.B3"/>
            <w:bookmarkEnd w:id="28"/>
          </w:p>
        </w:tc>
        <w:tc>
          <w:tcPr>
            <w:tcW w:w="1404" w:type="dxa"/>
            <w:tcBorders/>
            <w:vAlign w:val="center"/>
          </w:tcPr>
          <w:p>
            <w:pPr>
              <w:pStyle w:val="TableContents"/>
              <w:bidi w:val="0"/>
              <w:spacing w:before="0" w:after="283"/>
              <w:jc w:val="left"/>
              <w:rPr/>
            </w:pPr>
            <w:r>
              <w:rPr/>
              <w:t> </w:t>
            </w:r>
            <w:bookmarkStart w:id="29" w:name=".trail.B3"/>
            <w:bookmarkEnd w:id="29"/>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bookmarkStart w:id="30" w:name=".lead.2"/>
            <w:bookmarkEnd w:id="30"/>
          </w:p>
        </w:tc>
        <w:tc>
          <w:tcPr>
            <w:tcW w:w="60" w:type="dxa"/>
            <w:tcBorders/>
            <w:shd w:fill="CCEEFF" w:val="clear"/>
            <w:vAlign w:val="center"/>
          </w:tcPr>
          <w:p>
            <w:pPr>
              <w:pStyle w:val="TableContents"/>
              <w:bidi w:val="0"/>
              <w:spacing w:before="0" w:after="283"/>
              <w:ind w:left="0" w:right="0" w:hanging="0"/>
              <w:jc w:val="left"/>
              <w:rPr/>
            </w:pPr>
            <w:r>
              <w:rPr/>
              <w:t> </w:t>
            </w:r>
            <w:bookmarkStart w:id="31" w:name=".symb.2"/>
            <w:bookmarkEnd w:id="31"/>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2" w:name=".amt.2"/>
            <w:bookmarkEnd w:id="32"/>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1,180,552</w:t>
            </w:r>
            <w:bookmarkStart w:id="33" w:name=".trail.2"/>
            <w:bookmarkEnd w:id="33"/>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4" w:name=".lead.3"/>
            <w:bookmarkEnd w:id="34"/>
          </w:p>
        </w:tc>
        <w:tc>
          <w:tcPr>
            <w:tcW w:w="99" w:type="dxa"/>
            <w:tcBorders/>
            <w:shd w:fill="CCEEFF" w:val="clear"/>
            <w:vAlign w:val="center"/>
          </w:tcPr>
          <w:p>
            <w:pPr>
              <w:pStyle w:val="TableContents"/>
              <w:bidi w:val="0"/>
              <w:spacing w:before="0" w:after="283"/>
              <w:ind w:left="0" w:right="0" w:hanging="0"/>
              <w:jc w:val="left"/>
              <w:rPr/>
            </w:pPr>
            <w:r>
              <w:rPr/>
              <w:t> </w:t>
            </w:r>
            <w:bookmarkStart w:id="35" w:name=".symb.3"/>
            <w:bookmarkEnd w:id="35"/>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36" w:name=".amt.3"/>
            <w:bookmarkEnd w:id="36"/>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1,201,354</w:t>
            </w:r>
            <w:bookmarkStart w:id="37" w:name=".trail.3"/>
            <w:bookmarkEnd w:id="3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38" w:name=".lead.B21"/>
            <w:bookmarkStart w:id="39" w:name=".lead.B22"/>
            <w:bookmarkEnd w:id="38"/>
            <w:bookmarkEnd w:id="39"/>
          </w:p>
        </w:tc>
        <w:tc>
          <w:tcPr>
            <w:tcW w:w="60" w:type="dxa"/>
            <w:tcBorders/>
            <w:shd w:fill="FFFFFF" w:val="clear"/>
            <w:vAlign w:val="center"/>
          </w:tcPr>
          <w:p>
            <w:pPr>
              <w:pStyle w:val="TableContents"/>
              <w:bidi w:val="0"/>
              <w:spacing w:before="0" w:after="283"/>
              <w:jc w:val="left"/>
              <w:rPr/>
            </w:pPr>
            <w:r>
              <w:rPr/>
              <w:t> </w:t>
            </w:r>
            <w:bookmarkStart w:id="40" w:name=".symb.B21"/>
            <w:bookmarkStart w:id="41" w:name=".symb.B22"/>
            <w:bookmarkEnd w:id="40"/>
            <w:bookmarkEnd w:id="41"/>
          </w:p>
        </w:tc>
        <w:tc>
          <w:tcPr>
            <w:tcW w:w="207" w:type="dxa"/>
            <w:tcBorders/>
            <w:shd w:fill="FFFFFF" w:val="clear"/>
            <w:vAlign w:val="center"/>
          </w:tcPr>
          <w:p>
            <w:pPr>
              <w:pStyle w:val="TableContents"/>
              <w:bidi w:val="0"/>
              <w:spacing w:before="0" w:after="283"/>
              <w:jc w:val="left"/>
              <w:rPr/>
            </w:pPr>
            <w:r>
              <w:rPr/>
              <w:t> </w:t>
            </w:r>
            <w:bookmarkStart w:id="42" w:name=".amt.B21"/>
            <w:bookmarkStart w:id="43" w:name=".amt.B22"/>
            <w:bookmarkEnd w:id="42"/>
            <w:bookmarkEnd w:id="43"/>
          </w:p>
        </w:tc>
        <w:tc>
          <w:tcPr>
            <w:tcW w:w="1404" w:type="dxa"/>
            <w:tcBorders/>
            <w:shd w:fill="FFFFFF" w:val="clear"/>
            <w:vAlign w:val="center"/>
          </w:tcPr>
          <w:p>
            <w:pPr>
              <w:pStyle w:val="TableContents"/>
              <w:bidi w:val="0"/>
              <w:spacing w:before="0" w:after="283"/>
              <w:jc w:val="left"/>
              <w:rPr/>
            </w:pPr>
            <w:r>
              <w:rPr/>
              <w:t> </w:t>
            </w:r>
            <w:bookmarkStart w:id="44" w:name=".trail.B21"/>
            <w:bookmarkStart w:id="45" w:name=".trail.B22"/>
            <w:bookmarkEnd w:id="44"/>
            <w:bookmarkEnd w:id="45"/>
          </w:p>
        </w:tc>
        <w:tc>
          <w:tcPr>
            <w:tcW w:w="99" w:type="dxa"/>
            <w:tcBorders/>
            <w:shd w:fill="FFFFFF" w:val="clear"/>
            <w:vAlign w:val="center"/>
          </w:tcPr>
          <w:p>
            <w:pPr>
              <w:pStyle w:val="TableContents"/>
              <w:bidi w:val="0"/>
              <w:spacing w:before="0" w:after="283"/>
              <w:jc w:val="left"/>
              <w:rPr/>
            </w:pPr>
            <w:r>
              <w:rPr/>
              <w:t> </w:t>
            </w:r>
            <w:bookmarkStart w:id="46" w:name=".lead.B31"/>
            <w:bookmarkStart w:id="47" w:name=".lead.B32"/>
            <w:bookmarkEnd w:id="46"/>
            <w:bookmarkEnd w:id="47"/>
          </w:p>
        </w:tc>
        <w:tc>
          <w:tcPr>
            <w:tcW w:w="99" w:type="dxa"/>
            <w:tcBorders/>
            <w:shd w:fill="FFFFFF" w:val="clear"/>
            <w:vAlign w:val="center"/>
          </w:tcPr>
          <w:p>
            <w:pPr>
              <w:pStyle w:val="TableContents"/>
              <w:bidi w:val="0"/>
              <w:spacing w:before="0" w:after="283"/>
              <w:jc w:val="left"/>
              <w:rPr/>
            </w:pPr>
            <w:r>
              <w:rPr/>
              <w:t> </w:t>
            </w:r>
            <w:bookmarkStart w:id="48" w:name=".symb.B31"/>
            <w:bookmarkStart w:id="49" w:name=".symb.B32"/>
            <w:bookmarkEnd w:id="48"/>
            <w:bookmarkEnd w:id="49"/>
          </w:p>
        </w:tc>
        <w:tc>
          <w:tcPr>
            <w:tcW w:w="207" w:type="dxa"/>
            <w:tcBorders/>
            <w:shd w:fill="FFFFFF" w:val="clear"/>
            <w:vAlign w:val="center"/>
          </w:tcPr>
          <w:p>
            <w:pPr>
              <w:pStyle w:val="TableContents"/>
              <w:bidi w:val="0"/>
              <w:spacing w:before="0" w:after="283"/>
              <w:jc w:val="left"/>
              <w:rPr/>
            </w:pPr>
            <w:r>
              <w:rPr/>
              <w:t> </w:t>
            </w:r>
            <w:bookmarkStart w:id="50" w:name=".amt.B31"/>
            <w:bookmarkStart w:id="51" w:name=".amt.B32"/>
            <w:bookmarkEnd w:id="50"/>
            <w:bookmarkEnd w:id="51"/>
          </w:p>
        </w:tc>
        <w:tc>
          <w:tcPr>
            <w:tcW w:w="1404" w:type="dxa"/>
            <w:tcBorders/>
            <w:shd w:fill="FFFFFF" w:val="clear"/>
            <w:vAlign w:val="center"/>
          </w:tcPr>
          <w:p>
            <w:pPr>
              <w:pStyle w:val="TableContents"/>
              <w:bidi w:val="0"/>
              <w:spacing w:before="0" w:after="283"/>
              <w:jc w:val="left"/>
              <w:rPr/>
            </w:pPr>
            <w:r>
              <w:rPr/>
              <w:t> </w:t>
            </w:r>
            <w:bookmarkStart w:id="52" w:name=".trail.B31"/>
            <w:bookmarkStart w:id="53" w:name=".trail.B32"/>
            <w:bookmarkEnd w:id="52"/>
            <w:bookmarkEnd w:id="53"/>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bookmarkStart w:id="54" w:name=".lead.21"/>
            <w:bookmarkStart w:id="55" w:name=".lead.22"/>
            <w:bookmarkEnd w:id="54"/>
            <w:bookmarkEnd w:id="55"/>
          </w:p>
        </w:tc>
        <w:tc>
          <w:tcPr>
            <w:tcW w:w="60" w:type="dxa"/>
            <w:tcBorders/>
            <w:shd w:fill="CCEEFF" w:val="clear"/>
            <w:vAlign w:val="center"/>
          </w:tcPr>
          <w:p>
            <w:pPr>
              <w:pStyle w:val="TableContents"/>
              <w:bidi w:val="0"/>
              <w:spacing w:before="0" w:after="283"/>
              <w:ind w:left="0" w:right="0" w:hanging="0"/>
              <w:jc w:val="left"/>
              <w:rPr/>
            </w:pPr>
            <w:r>
              <w:rPr/>
              <w:t> </w:t>
            </w:r>
            <w:bookmarkStart w:id="56" w:name=".symb.21"/>
            <w:bookmarkStart w:id="57" w:name=".symb.22"/>
            <w:bookmarkEnd w:id="56"/>
            <w:bookmarkEnd w:id="57"/>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58" w:name=".amt.21"/>
            <w:bookmarkStart w:id="59" w:name=".amt.22"/>
            <w:bookmarkEnd w:id="58"/>
            <w:bookmarkEnd w:id="59"/>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183,647</w:t>
            </w:r>
            <w:bookmarkStart w:id="60" w:name=".trail.21"/>
            <w:bookmarkStart w:id="61" w:name=".trail.22"/>
            <w:bookmarkEnd w:id="60"/>
            <w:bookmarkEnd w:id="61"/>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 w:name=".lead.31"/>
            <w:bookmarkStart w:id="63" w:name=".lead.32"/>
            <w:bookmarkEnd w:id="62"/>
            <w:bookmarkEnd w:id="63"/>
          </w:p>
        </w:tc>
        <w:tc>
          <w:tcPr>
            <w:tcW w:w="99" w:type="dxa"/>
            <w:tcBorders/>
            <w:shd w:fill="CCEEFF" w:val="clear"/>
            <w:vAlign w:val="center"/>
          </w:tcPr>
          <w:p>
            <w:pPr>
              <w:pStyle w:val="TableContents"/>
              <w:bidi w:val="0"/>
              <w:spacing w:before="0" w:after="283"/>
              <w:ind w:left="0" w:right="0" w:hanging="0"/>
              <w:jc w:val="left"/>
              <w:rPr/>
            </w:pPr>
            <w:r>
              <w:rPr/>
              <w:t> </w:t>
            </w:r>
            <w:bookmarkStart w:id="64" w:name=".symb.31"/>
            <w:bookmarkStart w:id="65" w:name=".symb.32"/>
            <w:bookmarkEnd w:id="64"/>
            <w:bookmarkEnd w:id="65"/>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66" w:name=".amt.31"/>
            <w:bookmarkStart w:id="67" w:name=".amt.32"/>
            <w:bookmarkEnd w:id="66"/>
            <w:bookmarkEnd w:id="67"/>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186,821</w:t>
            </w:r>
            <w:bookmarkStart w:id="68" w:name=".trail.31"/>
            <w:bookmarkStart w:id="69" w:name=".trail.32"/>
            <w:bookmarkEnd w:id="68"/>
            <w:bookmarkEnd w:id="69"/>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70" w:name=".lead.B23"/>
            <w:bookmarkStart w:id="71" w:name=".lead.B24"/>
            <w:bookmarkEnd w:id="70"/>
            <w:bookmarkEnd w:id="71"/>
          </w:p>
        </w:tc>
        <w:tc>
          <w:tcPr>
            <w:tcW w:w="60" w:type="dxa"/>
            <w:tcBorders/>
            <w:shd w:fill="FFFFFF" w:val="clear"/>
            <w:vAlign w:val="center"/>
          </w:tcPr>
          <w:p>
            <w:pPr>
              <w:pStyle w:val="TableContents"/>
              <w:bidi w:val="0"/>
              <w:spacing w:before="0" w:after="283"/>
              <w:jc w:val="left"/>
              <w:rPr/>
            </w:pPr>
            <w:r>
              <w:rPr/>
              <w:t> </w:t>
            </w:r>
            <w:bookmarkStart w:id="72" w:name=".symb.B23"/>
            <w:bookmarkStart w:id="73" w:name=".symb.B24"/>
            <w:bookmarkEnd w:id="72"/>
            <w:bookmarkEnd w:id="73"/>
          </w:p>
        </w:tc>
        <w:tc>
          <w:tcPr>
            <w:tcW w:w="207" w:type="dxa"/>
            <w:tcBorders/>
            <w:shd w:fill="FFFFFF" w:val="clear"/>
            <w:vAlign w:val="center"/>
          </w:tcPr>
          <w:p>
            <w:pPr>
              <w:pStyle w:val="TableContents"/>
              <w:bidi w:val="0"/>
              <w:spacing w:before="0" w:after="283"/>
              <w:jc w:val="left"/>
              <w:rPr/>
            </w:pPr>
            <w:r>
              <w:rPr/>
              <w:t> </w:t>
            </w:r>
            <w:bookmarkStart w:id="74" w:name=".amt.B23"/>
            <w:bookmarkStart w:id="75" w:name=".amt.B24"/>
            <w:bookmarkEnd w:id="74"/>
            <w:bookmarkEnd w:id="75"/>
          </w:p>
        </w:tc>
        <w:tc>
          <w:tcPr>
            <w:tcW w:w="1404" w:type="dxa"/>
            <w:tcBorders/>
            <w:shd w:fill="FFFFFF" w:val="clear"/>
            <w:vAlign w:val="center"/>
          </w:tcPr>
          <w:p>
            <w:pPr>
              <w:pStyle w:val="TableContents"/>
              <w:bidi w:val="0"/>
              <w:spacing w:before="0" w:after="283"/>
              <w:jc w:val="left"/>
              <w:rPr/>
            </w:pPr>
            <w:r>
              <w:rPr/>
              <w:t> </w:t>
            </w:r>
            <w:bookmarkStart w:id="76" w:name=".trail.B23"/>
            <w:bookmarkStart w:id="77" w:name=".trail.B24"/>
            <w:bookmarkEnd w:id="76"/>
            <w:bookmarkEnd w:id="77"/>
          </w:p>
        </w:tc>
        <w:tc>
          <w:tcPr>
            <w:tcW w:w="99" w:type="dxa"/>
            <w:tcBorders/>
            <w:shd w:fill="FFFFFF" w:val="clear"/>
            <w:vAlign w:val="center"/>
          </w:tcPr>
          <w:p>
            <w:pPr>
              <w:pStyle w:val="TableContents"/>
              <w:bidi w:val="0"/>
              <w:spacing w:before="0" w:after="283"/>
              <w:jc w:val="left"/>
              <w:rPr/>
            </w:pPr>
            <w:r>
              <w:rPr/>
              <w:t> </w:t>
            </w:r>
            <w:bookmarkStart w:id="78" w:name=".lead.B33"/>
            <w:bookmarkStart w:id="79" w:name=".lead.B34"/>
            <w:bookmarkEnd w:id="78"/>
            <w:bookmarkEnd w:id="79"/>
          </w:p>
        </w:tc>
        <w:tc>
          <w:tcPr>
            <w:tcW w:w="99" w:type="dxa"/>
            <w:tcBorders/>
            <w:shd w:fill="FFFFFF" w:val="clear"/>
            <w:vAlign w:val="center"/>
          </w:tcPr>
          <w:p>
            <w:pPr>
              <w:pStyle w:val="TableContents"/>
              <w:bidi w:val="0"/>
              <w:spacing w:before="0" w:after="283"/>
              <w:jc w:val="left"/>
              <w:rPr/>
            </w:pPr>
            <w:r>
              <w:rPr/>
              <w:t> </w:t>
            </w:r>
            <w:bookmarkStart w:id="80" w:name=".symb.B33"/>
            <w:bookmarkStart w:id="81" w:name=".symb.B34"/>
            <w:bookmarkEnd w:id="80"/>
            <w:bookmarkEnd w:id="81"/>
          </w:p>
        </w:tc>
        <w:tc>
          <w:tcPr>
            <w:tcW w:w="207" w:type="dxa"/>
            <w:tcBorders/>
            <w:shd w:fill="FFFFFF" w:val="clear"/>
            <w:vAlign w:val="center"/>
          </w:tcPr>
          <w:p>
            <w:pPr>
              <w:pStyle w:val="TableContents"/>
              <w:bidi w:val="0"/>
              <w:spacing w:before="0" w:after="283"/>
              <w:jc w:val="left"/>
              <w:rPr/>
            </w:pPr>
            <w:r>
              <w:rPr/>
              <w:t> </w:t>
            </w:r>
            <w:bookmarkStart w:id="82" w:name=".amt.B33"/>
            <w:bookmarkStart w:id="83" w:name=".amt.B34"/>
            <w:bookmarkEnd w:id="82"/>
            <w:bookmarkEnd w:id="83"/>
          </w:p>
        </w:tc>
        <w:tc>
          <w:tcPr>
            <w:tcW w:w="1404" w:type="dxa"/>
            <w:tcBorders/>
            <w:shd w:fill="FFFFFF" w:val="clear"/>
            <w:vAlign w:val="center"/>
          </w:tcPr>
          <w:p>
            <w:pPr>
              <w:pStyle w:val="TableContents"/>
              <w:bidi w:val="0"/>
              <w:spacing w:before="0" w:after="283"/>
              <w:jc w:val="left"/>
              <w:rPr/>
            </w:pPr>
            <w:r>
              <w:rPr/>
              <w:t> </w:t>
            </w:r>
            <w:bookmarkStart w:id="84" w:name=".trail.B33"/>
            <w:bookmarkStart w:id="85" w:name=".trail.B34"/>
            <w:bookmarkEnd w:id="84"/>
            <w:bookmarkEnd w:id="85"/>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Per Common Share</w:t>
            </w:r>
            <w:bookmarkStart w:id="86" w:name=".lead.B25"/>
            <w:bookmarkStart w:id="87" w:name=".lead.B26"/>
            <w:bookmarkEnd w:id="86"/>
            <w:bookmarkEnd w:id="87"/>
          </w:p>
        </w:tc>
        <w:tc>
          <w:tcPr>
            <w:tcW w:w="60" w:type="dxa"/>
            <w:tcBorders/>
            <w:shd w:fill="CCEEFF" w:val="clear"/>
            <w:vAlign w:val="center"/>
          </w:tcPr>
          <w:p>
            <w:pPr>
              <w:pStyle w:val="TableContents"/>
              <w:bidi w:val="0"/>
              <w:spacing w:before="0" w:after="283"/>
              <w:jc w:val="left"/>
              <w:rPr/>
            </w:pPr>
            <w:r>
              <w:rPr/>
              <w:t> </w:t>
            </w:r>
            <w:bookmarkStart w:id="88" w:name=".symb.B25"/>
            <w:bookmarkStart w:id="89" w:name=".symb.B26"/>
            <w:bookmarkEnd w:id="88"/>
            <w:bookmarkEnd w:id="89"/>
          </w:p>
        </w:tc>
        <w:tc>
          <w:tcPr>
            <w:tcW w:w="207" w:type="dxa"/>
            <w:tcBorders/>
            <w:shd w:fill="CCEEFF" w:val="clear"/>
            <w:vAlign w:val="center"/>
          </w:tcPr>
          <w:p>
            <w:pPr>
              <w:pStyle w:val="TableContents"/>
              <w:bidi w:val="0"/>
              <w:spacing w:before="0" w:after="283"/>
              <w:jc w:val="left"/>
              <w:rPr/>
            </w:pPr>
            <w:r>
              <w:rPr/>
              <w:t> </w:t>
            </w:r>
            <w:bookmarkStart w:id="90" w:name=".amt.B25"/>
            <w:bookmarkStart w:id="91" w:name=".amt.B26"/>
            <w:bookmarkEnd w:id="90"/>
            <w:bookmarkEnd w:id="91"/>
          </w:p>
        </w:tc>
        <w:tc>
          <w:tcPr>
            <w:tcW w:w="1404" w:type="dxa"/>
            <w:tcBorders/>
            <w:shd w:fill="CCEEFF" w:val="clear"/>
            <w:vAlign w:val="center"/>
          </w:tcPr>
          <w:p>
            <w:pPr>
              <w:pStyle w:val="TableContents"/>
              <w:bidi w:val="0"/>
              <w:spacing w:before="0" w:after="283"/>
              <w:jc w:val="left"/>
              <w:rPr/>
            </w:pPr>
            <w:r>
              <w:rPr/>
              <w:t> </w:t>
            </w:r>
            <w:bookmarkStart w:id="92" w:name=".trail.B25"/>
            <w:bookmarkStart w:id="93" w:name=".trail.B26"/>
            <w:bookmarkEnd w:id="92"/>
            <w:bookmarkEnd w:id="93"/>
          </w:p>
        </w:tc>
        <w:tc>
          <w:tcPr>
            <w:tcW w:w="99" w:type="dxa"/>
            <w:tcBorders/>
            <w:shd w:fill="CCEEFF" w:val="clear"/>
            <w:vAlign w:val="center"/>
          </w:tcPr>
          <w:p>
            <w:pPr>
              <w:pStyle w:val="TableContents"/>
              <w:bidi w:val="0"/>
              <w:spacing w:before="0" w:after="283"/>
              <w:jc w:val="left"/>
              <w:rPr/>
            </w:pPr>
            <w:r>
              <w:rPr/>
              <w:t> </w:t>
            </w:r>
            <w:bookmarkStart w:id="94" w:name=".lead.B35"/>
            <w:bookmarkStart w:id="95" w:name=".lead.B36"/>
            <w:bookmarkEnd w:id="94"/>
            <w:bookmarkEnd w:id="95"/>
          </w:p>
        </w:tc>
        <w:tc>
          <w:tcPr>
            <w:tcW w:w="99" w:type="dxa"/>
            <w:tcBorders/>
            <w:shd w:fill="CCEEFF" w:val="clear"/>
            <w:vAlign w:val="center"/>
          </w:tcPr>
          <w:p>
            <w:pPr>
              <w:pStyle w:val="TableContents"/>
              <w:bidi w:val="0"/>
              <w:spacing w:before="0" w:after="283"/>
              <w:jc w:val="left"/>
              <w:rPr/>
            </w:pPr>
            <w:r>
              <w:rPr/>
              <w:t> </w:t>
            </w:r>
            <w:bookmarkStart w:id="96" w:name=".symb.B35"/>
            <w:bookmarkStart w:id="97" w:name=".symb.B36"/>
            <w:bookmarkEnd w:id="96"/>
            <w:bookmarkEnd w:id="97"/>
          </w:p>
        </w:tc>
        <w:tc>
          <w:tcPr>
            <w:tcW w:w="207" w:type="dxa"/>
            <w:tcBorders/>
            <w:shd w:fill="CCEEFF" w:val="clear"/>
            <w:vAlign w:val="center"/>
          </w:tcPr>
          <w:p>
            <w:pPr>
              <w:pStyle w:val="TableContents"/>
              <w:bidi w:val="0"/>
              <w:spacing w:before="0" w:after="283"/>
              <w:jc w:val="left"/>
              <w:rPr/>
            </w:pPr>
            <w:r>
              <w:rPr/>
              <w:t> </w:t>
            </w:r>
            <w:bookmarkStart w:id="98" w:name=".amt.B35"/>
            <w:bookmarkStart w:id="99" w:name=".amt.B36"/>
            <w:bookmarkEnd w:id="98"/>
            <w:bookmarkEnd w:id="99"/>
          </w:p>
        </w:tc>
        <w:tc>
          <w:tcPr>
            <w:tcW w:w="1404" w:type="dxa"/>
            <w:tcBorders/>
            <w:shd w:fill="CCEEFF" w:val="clear"/>
            <w:vAlign w:val="center"/>
          </w:tcPr>
          <w:p>
            <w:pPr>
              <w:pStyle w:val="TableContents"/>
              <w:bidi w:val="0"/>
              <w:spacing w:before="0" w:after="283"/>
              <w:jc w:val="left"/>
              <w:rPr/>
            </w:pPr>
            <w:r>
              <w:rPr/>
              <w:t> </w:t>
            </w:r>
            <w:bookmarkStart w:id="100" w:name=".trail.B35"/>
            <w:bookmarkStart w:id="101" w:name=".trail.B36"/>
            <w:bookmarkEnd w:id="100"/>
            <w:bookmarkEnd w:id="101"/>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02" w:name=".lead.23"/>
            <w:bookmarkStart w:id="103" w:name=".lead.24"/>
            <w:bookmarkEnd w:id="102"/>
            <w:bookmarkEnd w:id="103"/>
          </w:p>
        </w:tc>
        <w:tc>
          <w:tcPr>
            <w:tcW w:w="60" w:type="dxa"/>
            <w:tcBorders/>
            <w:shd w:fill="FFFFFF" w:val="clear"/>
            <w:vAlign w:val="center"/>
          </w:tcPr>
          <w:p>
            <w:pPr>
              <w:pStyle w:val="TableContents"/>
              <w:bidi w:val="0"/>
              <w:spacing w:before="0" w:after="283"/>
              <w:ind w:left="0" w:right="0" w:hanging="0"/>
              <w:jc w:val="left"/>
              <w:rPr/>
            </w:pPr>
            <w:r>
              <w:rPr/>
              <w:t> </w:t>
            </w:r>
            <w:bookmarkStart w:id="104" w:name=".symb.23"/>
            <w:bookmarkStart w:id="105" w:name=".symb.24"/>
            <w:bookmarkEnd w:id="104"/>
            <w:bookmarkEnd w:id="105"/>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06" w:name=".amt.23"/>
            <w:bookmarkStart w:id="107" w:name=".amt.24"/>
            <w:bookmarkEnd w:id="106"/>
            <w:bookmarkEnd w:id="107"/>
          </w:p>
        </w:tc>
        <w:tc>
          <w:tcPr>
            <w:tcW w:w="1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1.96</w:t>
            </w:r>
            <w:bookmarkStart w:id="108" w:name=".trail.23"/>
            <w:bookmarkStart w:id="109" w:name=".trail.24"/>
            <w:bookmarkEnd w:id="108"/>
            <w:bookmarkEnd w:id="109"/>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10" w:name=".lead.33"/>
            <w:bookmarkStart w:id="111" w:name=".lead.34"/>
            <w:bookmarkEnd w:id="110"/>
            <w:bookmarkEnd w:id="111"/>
          </w:p>
        </w:tc>
        <w:tc>
          <w:tcPr>
            <w:tcW w:w="99" w:type="dxa"/>
            <w:tcBorders/>
            <w:shd w:fill="FFFFFF" w:val="clear"/>
            <w:vAlign w:val="center"/>
          </w:tcPr>
          <w:p>
            <w:pPr>
              <w:pStyle w:val="TableContents"/>
              <w:bidi w:val="0"/>
              <w:spacing w:before="0" w:after="283"/>
              <w:ind w:left="0" w:right="0" w:hanging="0"/>
              <w:jc w:val="left"/>
              <w:rPr/>
            </w:pPr>
            <w:r>
              <w:rPr/>
              <w:t> </w:t>
            </w:r>
            <w:bookmarkStart w:id="112" w:name=".symb.33"/>
            <w:bookmarkStart w:id="113" w:name=".symb.34"/>
            <w:bookmarkEnd w:id="112"/>
            <w:bookmarkEnd w:id="113"/>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14" w:name=".amt.33"/>
            <w:bookmarkStart w:id="115" w:name=".amt.34"/>
            <w:bookmarkEnd w:id="114"/>
            <w:bookmarkEnd w:id="115"/>
          </w:p>
        </w:tc>
        <w:tc>
          <w:tcPr>
            <w:tcW w:w="1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w:t>
            </w:r>
            <w:bookmarkStart w:id="116" w:name=".trail.33"/>
            <w:bookmarkStart w:id="117" w:name=".trail.34"/>
            <w:bookmarkEnd w:id="116"/>
            <w:bookmarkEnd w:id="117"/>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18" w:name=".lead.25"/>
            <w:bookmarkStart w:id="119" w:name=".lead.26"/>
            <w:bookmarkEnd w:id="118"/>
            <w:bookmarkEnd w:id="119"/>
          </w:p>
        </w:tc>
        <w:tc>
          <w:tcPr>
            <w:tcW w:w="60" w:type="dxa"/>
            <w:tcBorders/>
            <w:shd w:fill="CCEEFF" w:val="clear"/>
            <w:vAlign w:val="center"/>
          </w:tcPr>
          <w:p>
            <w:pPr>
              <w:pStyle w:val="TableContents"/>
              <w:bidi w:val="0"/>
              <w:spacing w:before="0" w:after="283"/>
              <w:ind w:left="0" w:right="0" w:hanging="0"/>
              <w:jc w:val="left"/>
              <w:rPr/>
            </w:pPr>
            <w:r>
              <w:rPr/>
              <w:t> </w:t>
            </w:r>
            <w:bookmarkStart w:id="120" w:name=".symb.25"/>
            <w:bookmarkStart w:id="121" w:name=".symb.26"/>
            <w:bookmarkEnd w:id="120"/>
            <w:bookmarkEnd w:id="121"/>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22" w:name=".amt.25"/>
            <w:bookmarkStart w:id="123" w:name=".amt.26"/>
            <w:bookmarkEnd w:id="122"/>
            <w:bookmarkEnd w:id="123"/>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1.96</w:t>
            </w:r>
            <w:bookmarkStart w:id="124" w:name=".trail.25"/>
            <w:bookmarkStart w:id="125" w:name=".trail.26"/>
            <w:bookmarkEnd w:id="124"/>
            <w:bookmarkEnd w:id="125"/>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 w:name=".lead.35"/>
            <w:bookmarkStart w:id="127" w:name=".lead.36"/>
            <w:bookmarkEnd w:id="126"/>
            <w:bookmarkEnd w:id="127"/>
          </w:p>
        </w:tc>
        <w:tc>
          <w:tcPr>
            <w:tcW w:w="99" w:type="dxa"/>
            <w:tcBorders/>
            <w:shd w:fill="CCEEFF" w:val="clear"/>
            <w:vAlign w:val="center"/>
          </w:tcPr>
          <w:p>
            <w:pPr>
              <w:pStyle w:val="TableContents"/>
              <w:bidi w:val="0"/>
              <w:spacing w:before="0" w:after="283"/>
              <w:ind w:left="0" w:right="0" w:hanging="0"/>
              <w:jc w:val="left"/>
              <w:rPr/>
            </w:pPr>
            <w:r>
              <w:rPr/>
              <w:t> </w:t>
            </w:r>
            <w:bookmarkStart w:id="128" w:name=".symb.35"/>
            <w:bookmarkStart w:id="129" w:name=".symb.36"/>
            <w:bookmarkEnd w:id="128"/>
            <w:bookmarkEnd w:id="129"/>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bookmarkStart w:id="130" w:name=".amt.35"/>
            <w:bookmarkStart w:id="131" w:name=".amt.36"/>
            <w:bookmarkEnd w:id="130"/>
            <w:bookmarkEnd w:id="131"/>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1.99</w:t>
            </w:r>
            <w:bookmarkStart w:id="132" w:name=".trail.35"/>
            <w:bookmarkStart w:id="133" w:name=".trail.36"/>
            <w:bookmarkEnd w:id="132"/>
            <w:bookmarkEnd w:id="133"/>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bookmarkStart w:id="134" w:name=".lead.B27"/>
            <w:bookmarkStart w:id="135" w:name=".lead.B28"/>
            <w:bookmarkEnd w:id="134"/>
            <w:bookmarkEnd w:id="135"/>
          </w:p>
        </w:tc>
        <w:tc>
          <w:tcPr>
            <w:tcW w:w="60" w:type="dxa"/>
            <w:tcBorders/>
            <w:shd w:fill="FFFFFF" w:val="clear"/>
            <w:vAlign w:val="center"/>
          </w:tcPr>
          <w:p>
            <w:pPr>
              <w:pStyle w:val="TableContents"/>
              <w:bidi w:val="0"/>
              <w:spacing w:before="0" w:after="283"/>
              <w:jc w:val="left"/>
              <w:rPr/>
            </w:pPr>
            <w:r>
              <w:rPr/>
              <w:t> </w:t>
            </w:r>
            <w:bookmarkStart w:id="136" w:name=".symb.B27"/>
            <w:bookmarkStart w:id="137" w:name=".symb.B28"/>
            <w:bookmarkEnd w:id="136"/>
            <w:bookmarkEnd w:id="137"/>
          </w:p>
        </w:tc>
        <w:tc>
          <w:tcPr>
            <w:tcW w:w="207" w:type="dxa"/>
            <w:tcBorders/>
            <w:shd w:fill="FFFFFF" w:val="clear"/>
            <w:vAlign w:val="center"/>
          </w:tcPr>
          <w:p>
            <w:pPr>
              <w:pStyle w:val="TableContents"/>
              <w:bidi w:val="0"/>
              <w:spacing w:before="0" w:after="283"/>
              <w:jc w:val="left"/>
              <w:rPr/>
            </w:pPr>
            <w:r>
              <w:rPr/>
              <w:t> </w:t>
            </w:r>
            <w:bookmarkStart w:id="138" w:name=".amt.B27"/>
            <w:bookmarkStart w:id="139" w:name=".amt.B28"/>
            <w:bookmarkEnd w:id="138"/>
            <w:bookmarkEnd w:id="139"/>
          </w:p>
        </w:tc>
        <w:tc>
          <w:tcPr>
            <w:tcW w:w="1404" w:type="dxa"/>
            <w:tcBorders/>
            <w:shd w:fill="FFFFFF" w:val="clear"/>
            <w:vAlign w:val="center"/>
          </w:tcPr>
          <w:p>
            <w:pPr>
              <w:pStyle w:val="TableContents"/>
              <w:bidi w:val="0"/>
              <w:spacing w:before="0" w:after="283"/>
              <w:jc w:val="left"/>
              <w:rPr/>
            </w:pPr>
            <w:r>
              <w:rPr/>
              <w:t> </w:t>
            </w:r>
            <w:bookmarkStart w:id="140" w:name=".trail.B27"/>
            <w:bookmarkStart w:id="141" w:name=".trail.B28"/>
            <w:bookmarkEnd w:id="140"/>
            <w:bookmarkEnd w:id="141"/>
          </w:p>
        </w:tc>
        <w:tc>
          <w:tcPr>
            <w:tcW w:w="99" w:type="dxa"/>
            <w:tcBorders/>
            <w:shd w:fill="FFFFFF" w:val="clear"/>
            <w:vAlign w:val="center"/>
          </w:tcPr>
          <w:p>
            <w:pPr>
              <w:pStyle w:val="TableContents"/>
              <w:bidi w:val="0"/>
              <w:spacing w:before="0" w:after="283"/>
              <w:jc w:val="left"/>
              <w:rPr/>
            </w:pPr>
            <w:r>
              <w:rPr/>
              <w:t> </w:t>
            </w:r>
            <w:bookmarkStart w:id="142" w:name=".lead.B37"/>
            <w:bookmarkStart w:id="143" w:name=".lead.B38"/>
            <w:bookmarkEnd w:id="142"/>
            <w:bookmarkEnd w:id="143"/>
          </w:p>
        </w:tc>
        <w:tc>
          <w:tcPr>
            <w:tcW w:w="99" w:type="dxa"/>
            <w:tcBorders/>
            <w:shd w:fill="FFFFFF" w:val="clear"/>
            <w:vAlign w:val="center"/>
          </w:tcPr>
          <w:p>
            <w:pPr>
              <w:pStyle w:val="TableContents"/>
              <w:bidi w:val="0"/>
              <w:spacing w:before="0" w:after="283"/>
              <w:jc w:val="left"/>
              <w:rPr/>
            </w:pPr>
            <w:r>
              <w:rPr/>
              <w:t> </w:t>
            </w:r>
            <w:bookmarkStart w:id="144" w:name=".symb.B37"/>
            <w:bookmarkStart w:id="145" w:name=".symb.B38"/>
            <w:bookmarkEnd w:id="144"/>
            <w:bookmarkEnd w:id="145"/>
          </w:p>
        </w:tc>
        <w:tc>
          <w:tcPr>
            <w:tcW w:w="207" w:type="dxa"/>
            <w:tcBorders/>
            <w:shd w:fill="FFFFFF" w:val="clear"/>
            <w:vAlign w:val="center"/>
          </w:tcPr>
          <w:p>
            <w:pPr>
              <w:pStyle w:val="TableContents"/>
              <w:bidi w:val="0"/>
              <w:spacing w:before="0" w:after="283"/>
              <w:jc w:val="left"/>
              <w:rPr/>
            </w:pPr>
            <w:r>
              <w:rPr/>
              <w:t> </w:t>
            </w:r>
            <w:bookmarkStart w:id="146" w:name=".amt.B37"/>
            <w:bookmarkStart w:id="147" w:name=".amt.B38"/>
            <w:bookmarkEnd w:id="146"/>
            <w:bookmarkEnd w:id="147"/>
          </w:p>
        </w:tc>
        <w:tc>
          <w:tcPr>
            <w:tcW w:w="1404" w:type="dxa"/>
            <w:tcBorders/>
            <w:shd w:fill="FFFFFF" w:val="clear"/>
            <w:vAlign w:val="center"/>
          </w:tcPr>
          <w:p>
            <w:pPr>
              <w:pStyle w:val="TableContents"/>
              <w:bidi w:val="0"/>
              <w:spacing w:before="0" w:after="283"/>
              <w:jc w:val="left"/>
              <w:rPr/>
            </w:pPr>
            <w:r>
              <w:rPr/>
              <w:t> </w:t>
            </w:r>
            <w:bookmarkStart w:id="148" w:name=".trail.B37"/>
            <w:bookmarkStart w:id="149" w:name=".trail.B38"/>
            <w:bookmarkEnd w:id="148"/>
            <w:bookmarkEnd w:id="149"/>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Common Shares Outstanding</w:t>
            </w:r>
            <w:bookmarkStart w:id="150" w:name=".lead.B29"/>
            <w:bookmarkStart w:id="151" w:name=".lead.B210"/>
            <w:bookmarkEnd w:id="150"/>
            <w:bookmarkEnd w:id="151"/>
          </w:p>
        </w:tc>
        <w:tc>
          <w:tcPr>
            <w:tcW w:w="60" w:type="dxa"/>
            <w:tcBorders/>
            <w:shd w:fill="CCEEFF" w:val="clear"/>
            <w:vAlign w:val="center"/>
          </w:tcPr>
          <w:p>
            <w:pPr>
              <w:pStyle w:val="TableContents"/>
              <w:bidi w:val="0"/>
              <w:spacing w:before="0" w:after="283"/>
              <w:jc w:val="left"/>
              <w:rPr/>
            </w:pPr>
            <w:r>
              <w:rPr/>
              <w:t> </w:t>
            </w:r>
            <w:bookmarkStart w:id="152" w:name=".symb.B29"/>
            <w:bookmarkStart w:id="153" w:name=".symb.B210"/>
            <w:bookmarkEnd w:id="152"/>
            <w:bookmarkEnd w:id="153"/>
          </w:p>
        </w:tc>
        <w:tc>
          <w:tcPr>
            <w:tcW w:w="207" w:type="dxa"/>
            <w:tcBorders/>
            <w:shd w:fill="CCEEFF" w:val="clear"/>
            <w:vAlign w:val="center"/>
          </w:tcPr>
          <w:p>
            <w:pPr>
              <w:pStyle w:val="TableContents"/>
              <w:bidi w:val="0"/>
              <w:spacing w:before="0" w:after="283"/>
              <w:jc w:val="left"/>
              <w:rPr/>
            </w:pPr>
            <w:r>
              <w:rPr/>
              <w:t> </w:t>
            </w:r>
            <w:bookmarkStart w:id="154" w:name=".amt.B29"/>
            <w:bookmarkStart w:id="155" w:name=".amt.B210"/>
            <w:bookmarkEnd w:id="154"/>
            <w:bookmarkEnd w:id="155"/>
          </w:p>
        </w:tc>
        <w:tc>
          <w:tcPr>
            <w:tcW w:w="1404" w:type="dxa"/>
            <w:tcBorders/>
            <w:shd w:fill="CCEEFF" w:val="clear"/>
            <w:vAlign w:val="center"/>
          </w:tcPr>
          <w:p>
            <w:pPr>
              <w:pStyle w:val="TableContents"/>
              <w:bidi w:val="0"/>
              <w:spacing w:before="0" w:after="283"/>
              <w:jc w:val="left"/>
              <w:rPr/>
            </w:pPr>
            <w:r>
              <w:rPr/>
              <w:t> </w:t>
            </w:r>
            <w:bookmarkStart w:id="156" w:name=".trail.B29"/>
            <w:bookmarkStart w:id="157" w:name=".trail.B210"/>
            <w:bookmarkEnd w:id="156"/>
            <w:bookmarkEnd w:id="157"/>
          </w:p>
        </w:tc>
        <w:tc>
          <w:tcPr>
            <w:tcW w:w="99" w:type="dxa"/>
            <w:tcBorders/>
            <w:shd w:fill="CCEEFF" w:val="clear"/>
            <w:vAlign w:val="center"/>
          </w:tcPr>
          <w:p>
            <w:pPr>
              <w:pStyle w:val="TableContents"/>
              <w:bidi w:val="0"/>
              <w:spacing w:before="0" w:after="283"/>
              <w:jc w:val="left"/>
              <w:rPr/>
            </w:pPr>
            <w:r>
              <w:rPr/>
              <w:t> </w:t>
            </w:r>
            <w:bookmarkStart w:id="158" w:name=".lead.B39"/>
            <w:bookmarkStart w:id="159" w:name=".lead.B310"/>
            <w:bookmarkEnd w:id="158"/>
            <w:bookmarkEnd w:id="159"/>
          </w:p>
        </w:tc>
        <w:tc>
          <w:tcPr>
            <w:tcW w:w="99" w:type="dxa"/>
            <w:tcBorders/>
            <w:shd w:fill="CCEEFF" w:val="clear"/>
            <w:vAlign w:val="center"/>
          </w:tcPr>
          <w:p>
            <w:pPr>
              <w:pStyle w:val="TableContents"/>
              <w:bidi w:val="0"/>
              <w:spacing w:before="0" w:after="283"/>
              <w:jc w:val="left"/>
              <w:rPr/>
            </w:pPr>
            <w:r>
              <w:rPr/>
              <w:t> </w:t>
            </w:r>
            <w:bookmarkStart w:id="160" w:name=".symb.B39"/>
            <w:bookmarkStart w:id="161" w:name=".symb.B310"/>
            <w:bookmarkEnd w:id="160"/>
            <w:bookmarkEnd w:id="161"/>
          </w:p>
        </w:tc>
        <w:tc>
          <w:tcPr>
            <w:tcW w:w="207" w:type="dxa"/>
            <w:tcBorders/>
            <w:shd w:fill="CCEEFF" w:val="clear"/>
            <w:vAlign w:val="center"/>
          </w:tcPr>
          <w:p>
            <w:pPr>
              <w:pStyle w:val="TableContents"/>
              <w:bidi w:val="0"/>
              <w:spacing w:before="0" w:after="283"/>
              <w:jc w:val="left"/>
              <w:rPr/>
            </w:pPr>
            <w:r>
              <w:rPr/>
              <w:t> </w:t>
            </w:r>
            <w:bookmarkStart w:id="162" w:name=".amt.B39"/>
            <w:bookmarkStart w:id="163" w:name=".amt.B310"/>
            <w:bookmarkEnd w:id="162"/>
            <w:bookmarkEnd w:id="163"/>
          </w:p>
        </w:tc>
        <w:tc>
          <w:tcPr>
            <w:tcW w:w="1404" w:type="dxa"/>
            <w:tcBorders/>
            <w:shd w:fill="CCEEFF" w:val="clear"/>
            <w:vAlign w:val="center"/>
          </w:tcPr>
          <w:p>
            <w:pPr>
              <w:pStyle w:val="TableContents"/>
              <w:bidi w:val="0"/>
              <w:spacing w:before="0" w:after="283"/>
              <w:jc w:val="left"/>
              <w:rPr/>
            </w:pPr>
            <w:r>
              <w:rPr/>
              <w:t> </w:t>
            </w:r>
            <w:bookmarkStart w:id="164" w:name=".trail.B39"/>
            <w:bookmarkStart w:id="165" w:name=".trail.B310"/>
            <w:bookmarkEnd w:id="164"/>
            <w:bookmarkEnd w:id="165"/>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66" w:name=".lead.27"/>
            <w:bookmarkStart w:id="167" w:name=".lead.28"/>
            <w:bookmarkEnd w:id="166"/>
            <w:bookmarkEnd w:id="167"/>
          </w:p>
        </w:tc>
        <w:tc>
          <w:tcPr>
            <w:tcW w:w="60" w:type="dxa"/>
            <w:tcBorders/>
            <w:shd w:fill="FFFFFF" w:val="clear"/>
            <w:vAlign w:val="center"/>
          </w:tcPr>
          <w:p>
            <w:pPr>
              <w:pStyle w:val="TableContents"/>
              <w:bidi w:val="0"/>
              <w:spacing w:before="0" w:after="283"/>
              <w:jc w:val="left"/>
              <w:rPr/>
            </w:pPr>
            <w:r>
              <w:rPr/>
              <w:t> </w:t>
            </w:r>
            <w:bookmarkStart w:id="168" w:name=".symb.27"/>
            <w:bookmarkStart w:id="169" w:name=".symb.28"/>
            <w:bookmarkEnd w:id="168"/>
            <w:bookmarkEnd w:id="169"/>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 w:name=".amt.27"/>
            <w:bookmarkStart w:id="171" w:name=".amt.28"/>
            <w:bookmarkEnd w:id="170"/>
            <w:bookmarkEnd w:id="171"/>
          </w:p>
        </w:tc>
        <w:tc>
          <w:tcPr>
            <w:tcW w:w="1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93,617</w:t>
            </w:r>
            <w:bookmarkStart w:id="172" w:name=".trail.27"/>
            <w:bookmarkStart w:id="173" w:name=".trail.28"/>
            <w:bookmarkEnd w:id="172"/>
            <w:bookmarkEnd w:id="173"/>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4" w:name=".lead.37"/>
            <w:bookmarkStart w:id="175" w:name=".lead.38"/>
            <w:bookmarkEnd w:id="174"/>
            <w:bookmarkEnd w:id="175"/>
          </w:p>
        </w:tc>
        <w:tc>
          <w:tcPr>
            <w:tcW w:w="99" w:type="dxa"/>
            <w:tcBorders/>
            <w:shd w:fill="FFFFFF" w:val="clear"/>
            <w:vAlign w:val="center"/>
          </w:tcPr>
          <w:p>
            <w:pPr>
              <w:pStyle w:val="TableContents"/>
              <w:bidi w:val="0"/>
              <w:spacing w:before="0" w:after="283"/>
              <w:jc w:val="left"/>
              <w:rPr/>
            </w:pPr>
            <w:r>
              <w:rPr/>
              <w:t> </w:t>
            </w:r>
            <w:bookmarkStart w:id="176" w:name=".symb.37"/>
            <w:bookmarkStart w:id="177" w:name=".symb.38"/>
            <w:bookmarkEnd w:id="176"/>
            <w:bookmarkEnd w:id="177"/>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8" w:name=".amt.37"/>
            <w:bookmarkStart w:id="179" w:name=".amt.38"/>
            <w:bookmarkEnd w:id="178"/>
            <w:bookmarkEnd w:id="179"/>
          </w:p>
        </w:tc>
        <w:tc>
          <w:tcPr>
            <w:tcW w:w="1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93,607</w:t>
            </w:r>
            <w:bookmarkStart w:id="180" w:name=".trail.37"/>
            <w:bookmarkStart w:id="181" w:name=".trail.38"/>
            <w:bookmarkEnd w:id="180"/>
            <w:bookmarkEnd w:id="181"/>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82" w:name=".lead.29"/>
            <w:bookmarkStart w:id="183" w:name=".lead.210"/>
            <w:bookmarkEnd w:id="182"/>
            <w:bookmarkEnd w:id="183"/>
          </w:p>
        </w:tc>
        <w:tc>
          <w:tcPr>
            <w:tcW w:w="60" w:type="dxa"/>
            <w:tcBorders/>
            <w:shd w:fill="CCEEFF" w:val="clear"/>
            <w:vAlign w:val="center"/>
          </w:tcPr>
          <w:p>
            <w:pPr>
              <w:pStyle w:val="TableContents"/>
              <w:bidi w:val="0"/>
              <w:spacing w:before="0" w:after="283"/>
              <w:jc w:val="left"/>
              <w:rPr/>
            </w:pPr>
            <w:r>
              <w:rPr/>
              <w:t> </w:t>
            </w:r>
            <w:bookmarkStart w:id="184" w:name=".symb.29"/>
            <w:bookmarkStart w:id="185" w:name=".symb.210"/>
            <w:bookmarkEnd w:id="184"/>
            <w:bookmarkEnd w:id="185"/>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 w:name=".amt.29"/>
            <w:bookmarkStart w:id="187" w:name=".amt.210"/>
            <w:bookmarkEnd w:id="186"/>
            <w:bookmarkEnd w:id="187"/>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93,672</w:t>
            </w:r>
            <w:bookmarkStart w:id="188" w:name=".trail.29"/>
            <w:bookmarkStart w:id="189" w:name=".trail.210"/>
            <w:bookmarkEnd w:id="188"/>
            <w:bookmarkEnd w:id="189"/>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0" w:name=".lead.39"/>
            <w:bookmarkStart w:id="191" w:name=".lead.310"/>
            <w:bookmarkEnd w:id="190"/>
            <w:bookmarkEnd w:id="191"/>
          </w:p>
        </w:tc>
        <w:tc>
          <w:tcPr>
            <w:tcW w:w="99" w:type="dxa"/>
            <w:tcBorders/>
            <w:shd w:fill="CCEEFF" w:val="clear"/>
            <w:vAlign w:val="center"/>
          </w:tcPr>
          <w:p>
            <w:pPr>
              <w:pStyle w:val="TableContents"/>
              <w:bidi w:val="0"/>
              <w:spacing w:before="0" w:after="283"/>
              <w:jc w:val="left"/>
              <w:rPr/>
            </w:pPr>
            <w:r>
              <w:rPr/>
              <w:t> </w:t>
            </w:r>
            <w:bookmarkStart w:id="192" w:name=".symb.39"/>
            <w:bookmarkStart w:id="193" w:name=".symb.310"/>
            <w:bookmarkEnd w:id="192"/>
            <w:bookmarkEnd w:id="193"/>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4" w:name=".amt.39"/>
            <w:bookmarkStart w:id="195" w:name=".amt.310"/>
            <w:bookmarkEnd w:id="194"/>
            <w:bookmarkEnd w:id="195"/>
          </w:p>
        </w:tc>
        <w:tc>
          <w:tcPr>
            <w:tcW w:w="14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93,685</w:t>
            </w:r>
            <w:bookmarkStart w:id="196" w:name=".trail.39"/>
            <w:bookmarkStart w:id="197" w:name=".trail.310"/>
            <w:bookmarkEnd w:id="196"/>
            <w:bookmarkEnd w:id="197"/>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 The Fiscal Year Ended May 3, 2025 consisted of 53 weeks.</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This press release includes forward-looking statements within the meaning of the Private Securities Litigation Reform Act of 1995.  Forward-looking statements involve risks, uncertainties and other factors described in the Company's Securities and Exchange Commission filings which may cause actual results or achievements to differ from the results or achievements expressed or implied by such statements. The Company disclaims an obligation to update or announce revisions to any forward-looking statements.</w:t>
      </w:r>
    </w:p>
    <w:p>
      <w:pPr>
        <w:pStyle w:val="TextBody"/>
        <w:bidi w:val="0"/>
        <w:spacing w:before="0" w:after="0"/>
        <w:jc w:val="right"/>
        <w:rPr/>
      </w:pPr>
      <w:r>
        <w:rPr/>
        <w:drawing>
          <wp:inline distT="0" distB="0" distL="0" distR="0">
            <wp:extent cx="2438400" cy="4267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438400" cy="426720"/>
                    </a:xfrm>
                    <a:prstGeom prst="rect">
                      <a:avLst/>
                    </a:prstGeom>
                  </pic:spPr>
                </pic:pic>
              </a:graphicData>
            </a:graphic>
          </wp:inline>
        </w:drawing>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1474</Words>
  <Characters>8189</Characters>
  <CharactersWithSpaces>9779</CharactersWithSpaces>
  <Paragraphs>316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