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303135" cy="904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3135" cy="9044305"/>
                    </a:xfrm>
                    <a:prstGeom prst="rect">
                      <a:avLst/>
                    </a:prstGeom>
                    <a:noFill/>
                  </pic:spPr>
                </pic:pic>
              </a:graphicData>
            </a:graphic>
          </wp:anchor>
        </w:drawing>
      </w:r>
    </w:p>
    <w:p>
      <w:pPr>
        <w:spacing w:after="0" w:line="316" w:lineRule="exact"/>
        <w:rPr>
          <w:sz w:val="24"/>
          <w:szCs w:val="24"/>
          <w:color w:val="auto"/>
        </w:rPr>
      </w:pPr>
    </w:p>
    <w:p>
      <w:pPr>
        <w:ind w:left="4260"/>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50" w:lineRule="exact"/>
        <w:rPr>
          <w:sz w:val="24"/>
          <w:szCs w:val="24"/>
          <w:color w:val="auto"/>
        </w:rPr>
      </w:pPr>
    </w:p>
    <w:p>
      <w:pPr>
        <w:ind w:left="4940"/>
        <w:spacing w:after="0"/>
        <w:rPr>
          <w:sz w:val="20"/>
          <w:szCs w:val="20"/>
          <w:color w:val="auto"/>
        </w:rPr>
      </w:pPr>
      <w:r>
        <w:rPr>
          <w:rFonts w:ascii="Arial" w:cs="Arial" w:eastAsia="Arial" w:hAnsi="Arial"/>
          <w:sz w:val="16"/>
          <w:szCs w:val="16"/>
          <w:color w:val="auto"/>
        </w:rPr>
        <w:t>Washington, D.C. 20549</w:t>
      </w:r>
    </w:p>
    <w:p>
      <w:pPr>
        <w:spacing w:after="0" w:line="38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FORM 10-K</w:t>
      </w:r>
    </w:p>
    <w:p>
      <w:pPr>
        <w:sectPr>
          <w:pgSz w:w="11900" w:h="16838" w:orient="portrait"/>
          <w:cols w:equalWidth="0" w:num="1">
            <w:col w:w="11340"/>
          </w:cols>
          <w:pgMar w:left="240" w:top="218" w:right="319" w:bottom="1440" w:gutter="0" w:footer="0" w:header="0"/>
        </w:sectPr>
      </w:pPr>
    </w:p>
    <w:p>
      <w:pPr>
        <w:spacing w:after="0" w:line="182" w:lineRule="exact"/>
        <w:rPr>
          <w:sz w:val="24"/>
          <w:szCs w:val="24"/>
          <w:color w:val="auto"/>
        </w:rPr>
      </w:pPr>
    </w:p>
    <w:p>
      <w:pPr>
        <w:ind w:left="2520"/>
        <w:spacing w:after="0" w:line="173" w:lineRule="exact"/>
        <w:rPr>
          <w:sz w:val="20"/>
          <w:szCs w:val="20"/>
          <w:color w:val="auto"/>
        </w:rPr>
      </w:pPr>
      <w:r>
        <w:rPr>
          <w:rFonts w:ascii="Arial" w:cs="Arial" w:eastAsia="Arial" w:hAnsi="Arial"/>
          <w:sz w:val="15"/>
          <w:szCs w:val="15"/>
          <w:color w:val="auto"/>
        </w:rPr>
        <w:t>[</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spacing w:after="0" w:line="46" w:lineRule="exact"/>
        <w:rPr>
          <w:sz w:val="24"/>
          <w:szCs w:val="24"/>
          <w:color w:val="auto"/>
        </w:rPr>
      </w:pPr>
    </w:p>
    <w:p>
      <w:pPr>
        <w:ind w:left="1060"/>
        <w:spacing w:after="0"/>
        <w:rPr>
          <w:sz w:val="20"/>
          <w:szCs w:val="20"/>
          <w:color w:val="auto"/>
        </w:rPr>
      </w:pPr>
      <w:r>
        <w:rPr>
          <w:rFonts w:ascii="Arial" w:cs="Arial" w:eastAsia="Arial" w:hAnsi="Arial"/>
          <w:sz w:val="16"/>
          <w:szCs w:val="16"/>
          <w:b w:val="1"/>
          <w:bCs w:val="1"/>
          <w:color w:val="auto"/>
        </w:rPr>
        <w:t>For the fiscal year ended April 28, 2018</w:t>
      </w:r>
    </w:p>
    <w:p>
      <w:pPr>
        <w:spacing w:after="0" w:line="12"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sectPr>
          <w:pgSz w:w="11900" w:h="16838" w:orient="portrait"/>
          <w:cols w:equalWidth="0" w:num="2">
            <w:col w:w="2760" w:space="560"/>
            <w:col w:w="8020"/>
          </w:cols>
          <w:pgMar w:left="240" w:top="218" w:right="319" w:bottom="1440" w:gutter="0" w:footer="0" w:header="0"/>
          <w:type w:val="continuous"/>
        </w:sectPr>
      </w:pPr>
    </w:p>
    <w:p>
      <w:pPr>
        <w:ind w:left="2680" w:hanging="212"/>
        <w:spacing w:after="0"/>
        <w:tabs>
          <w:tab w:leader="none" w:pos="2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Transition Report Pursuant to Section 13 or 15(d) of the Securities Exchange Act of 1934</w:t>
      </w:r>
    </w:p>
    <w:p>
      <w:pPr>
        <w:spacing w:after="0" w:line="11" w:lineRule="exact"/>
        <w:rPr>
          <w:rFonts w:ascii="Arial" w:cs="Arial" w:eastAsia="Arial" w:hAnsi="Arial"/>
          <w:sz w:val="16"/>
          <w:szCs w:val="16"/>
          <w:color w:val="auto"/>
        </w:rPr>
      </w:pPr>
    </w:p>
    <w:p>
      <w:pPr>
        <w:ind w:left="3960"/>
        <w:spacing w:after="0"/>
        <w:rPr>
          <w:rFonts w:ascii="Arial" w:cs="Arial" w:eastAsia="Arial" w:hAnsi="Arial"/>
          <w:sz w:val="16"/>
          <w:szCs w:val="16"/>
          <w:color w:val="auto"/>
        </w:rPr>
      </w:pPr>
      <w:r>
        <w:rPr>
          <w:rFonts w:ascii="Arial" w:cs="Arial" w:eastAsia="Arial" w:hAnsi="Arial"/>
          <w:sz w:val="16"/>
          <w:szCs w:val="16"/>
          <w:color w:val="auto"/>
        </w:rPr>
        <w:t>For the transition period from __________ to 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Commission file number 1-14170</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NATIONAL BEVERAGE CORP.</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40"/>
          </w:cols>
          <w:pgMar w:left="240" w:top="218"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59-2605822</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40" w:space="720"/>
            <w:col w:w="3980"/>
          </w:cols>
          <w:pgMar w:left="240" w:top="218" w:right="319" w:bottom="1440" w:gutter="0" w:footer="0" w:header="0"/>
          <w:type w:val="continuous"/>
        </w:sectPr>
      </w:pPr>
    </w:p>
    <w:p>
      <w:pPr>
        <w:spacing w:after="0" w:line="4"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8100 SW Tenth Street, Suite 4000, Fort Lauderdale, Florida 33324</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Registrant’s telephone number, including area code: (954) 581-0922</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 w:lineRule="exact"/>
        <w:rPr>
          <w:sz w:val="24"/>
          <w:szCs w:val="24"/>
          <w:color w:val="auto"/>
        </w:rPr>
      </w:pPr>
    </w:p>
    <w:tbl>
      <w:tblPr>
        <w:tblLayout w:type="fixed"/>
        <w:tblInd w:w="162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12"/>
        </w:trPr>
        <w:tc>
          <w:tcPr>
            <w:tcW w:w="4080" w:type="dxa"/>
            <w:vAlign w:val="bottom"/>
            <w:gridSpan w:val="3"/>
          </w:tcPr>
          <w:p>
            <w:pPr>
              <w:jc w:val="center"/>
              <w:ind w:right="1420"/>
              <w:spacing w:after="0"/>
              <w:rPr>
                <w:sz w:val="20"/>
                <w:szCs w:val="20"/>
                <w:color w:val="auto"/>
              </w:rPr>
            </w:pPr>
            <w:r>
              <w:rPr>
                <w:rFonts w:ascii="Arial" w:cs="Arial" w:eastAsia="Arial" w:hAnsi="Arial"/>
                <w:sz w:val="16"/>
                <w:szCs w:val="16"/>
                <w:color w:val="auto"/>
                <w:w w:val="91"/>
              </w:rPr>
              <w:t>Common Stock, par value $.01 per share</w:t>
            </w:r>
          </w:p>
        </w:tc>
        <w:tc>
          <w:tcPr>
            <w:tcW w:w="14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6"/>
                <w:szCs w:val="16"/>
                <w:color w:val="auto"/>
                <w:w w:val="95"/>
              </w:rPr>
              <w:t>The NASDAQ Global Select Market</w:t>
            </w:r>
          </w:p>
        </w:tc>
      </w:tr>
    </w:tbl>
    <w:p>
      <w:pPr>
        <w:spacing w:after="0" w:line="180"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82" w:lineRule="exact"/>
        <w:rPr>
          <w:sz w:val="24"/>
          <w:szCs w:val="24"/>
          <w:color w:val="auto"/>
        </w:rPr>
      </w:pPr>
    </w:p>
    <w:p>
      <w:pPr>
        <w:ind w:left="140"/>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8" w:lineRule="exact"/>
        <w:rPr>
          <w:sz w:val="24"/>
          <w:szCs w:val="24"/>
          <w:color w:val="auto"/>
        </w:rPr>
      </w:pPr>
    </w:p>
    <w:p>
      <w:pPr>
        <w:ind w:left="140"/>
        <w:spacing w:after="0" w:line="184"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 ( )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38" w:lineRule="exact"/>
        <w:rPr>
          <w:sz w:val="24"/>
          <w:szCs w:val="24"/>
          <w:color w:val="auto"/>
        </w:rPr>
      </w:pPr>
    </w:p>
    <w:p>
      <w:pPr>
        <w:ind w:left="140" w:right="520"/>
        <w:spacing w:after="0" w:line="211" w:lineRule="exact"/>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No ( )</w:t>
      </w:r>
    </w:p>
    <w:p>
      <w:pPr>
        <w:spacing w:after="0" w:line="167" w:lineRule="exact"/>
        <w:rPr>
          <w:sz w:val="24"/>
          <w:szCs w:val="24"/>
          <w:color w:val="auto"/>
        </w:rPr>
      </w:pPr>
    </w:p>
    <w:p>
      <w:pPr>
        <w:ind w:left="140" w:right="660"/>
        <w:spacing w:after="0" w:line="211"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6"/>
          <w:szCs w:val="16"/>
          <w:color w:val="auto"/>
        </w:rPr>
        <w:t>✓</w:t>
      </w:r>
      <w:r>
        <w:rPr>
          <w:rFonts w:ascii="Arial" w:cs="Arial" w:eastAsia="Arial" w:hAnsi="Arial"/>
          <w:sz w:val="16"/>
          <w:szCs w:val="16"/>
          <w:color w:val="auto"/>
        </w:rPr>
        <w:t>) No ( )</w:t>
      </w:r>
    </w:p>
    <w:p>
      <w:pPr>
        <w:spacing w:after="0" w:line="167" w:lineRule="exact"/>
        <w:rPr>
          <w:sz w:val="24"/>
          <w:szCs w:val="24"/>
          <w:color w:val="auto"/>
        </w:rPr>
      </w:pPr>
    </w:p>
    <w:p>
      <w:pPr>
        <w:ind w:left="140" w:right="240"/>
        <w:spacing w:after="0" w:line="211" w:lineRule="exact"/>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66" w:lineRule="exact"/>
        <w:rPr>
          <w:sz w:val="24"/>
          <w:szCs w:val="24"/>
          <w:color w:val="auto"/>
        </w:rPr>
      </w:pPr>
    </w:p>
    <w:p>
      <w:pPr>
        <w:ind w:left="140"/>
        <w:spacing w:after="0" w:line="200"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Accelerated filer ( ) Non-accelerated filer ( ) Smaller reporting company ( ) Emerging growth company ( )</w:t>
      </w:r>
    </w:p>
    <w:p>
      <w:pPr>
        <w:spacing w:after="0" w:line="185" w:lineRule="exact"/>
        <w:rPr>
          <w:sz w:val="24"/>
          <w:szCs w:val="24"/>
          <w:color w:val="auto"/>
        </w:rPr>
      </w:pPr>
    </w:p>
    <w:p>
      <w:pPr>
        <w:ind w:left="140" w:right="480"/>
        <w:spacing w:after="0" w:line="28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21" w:lineRule="exact"/>
        <w:rPr>
          <w:sz w:val="24"/>
          <w:szCs w:val="24"/>
          <w:color w:val="auto"/>
        </w:rPr>
      </w:pPr>
    </w:p>
    <w:p>
      <w:pPr>
        <w:ind w:left="14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38" w:lineRule="exact"/>
        <w:rPr>
          <w:sz w:val="24"/>
          <w:szCs w:val="24"/>
          <w:color w:val="auto"/>
        </w:rPr>
      </w:pPr>
    </w:p>
    <w:p>
      <w:pPr>
        <w:ind w:left="140"/>
        <w:spacing w:after="0" w:line="285" w:lineRule="auto"/>
        <w:rPr>
          <w:sz w:val="20"/>
          <w:szCs w:val="20"/>
          <w:color w:val="auto"/>
        </w:rPr>
      </w:pPr>
      <w:r>
        <w:rPr>
          <w:rFonts w:ascii="Arial" w:cs="Arial" w:eastAsia="Arial" w:hAnsi="Arial"/>
          <w:sz w:val="16"/>
          <w:szCs w:val="16"/>
          <w:color w:val="auto"/>
        </w:rPr>
        <w:t>The aggregate market value of the common stock held by non-affiliates of Registrant computed by reference to the closing sale price of $95.28 on October 27, 2017 was approximately $1.1 billion.</w:t>
      </w:r>
    </w:p>
    <w:p>
      <w:pPr>
        <w:spacing w:after="0" w:line="15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The number of shares of Registrant’s common stock outstanding as of June 22, 2018 was 46,618,240.</w:t>
      </w:r>
    </w:p>
    <w:p>
      <w:pPr>
        <w:spacing w:after="0" w:line="204"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7" w:lineRule="exact"/>
        <w:rPr>
          <w:sz w:val="24"/>
          <w:szCs w:val="24"/>
          <w:color w:val="auto"/>
        </w:rPr>
      </w:pPr>
    </w:p>
    <w:p>
      <w:pPr>
        <w:ind w:left="140"/>
        <w:spacing w:after="0"/>
        <w:rPr>
          <w:sz w:val="20"/>
          <w:szCs w:val="20"/>
          <w:color w:val="auto"/>
        </w:rPr>
      </w:pPr>
      <w:r>
        <w:rPr>
          <w:rFonts w:ascii="Arial" w:cs="Arial" w:eastAsia="Arial" w:hAnsi="Arial"/>
          <w:sz w:val="16"/>
          <w:szCs w:val="16"/>
          <w:color w:val="auto"/>
        </w:rPr>
        <w:t>Portions of the Registrant’s Proxy Statement for the 2018 Annual Meeting of Shareholders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427990</wp:posOffset>
            </wp:positionV>
            <wp:extent cx="725932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340"/>
          </w:cols>
          <w:pgMar w:left="240" w:top="218" w:right="319" w:bottom="1440" w:gutter="0" w:footer="0" w:header="0"/>
          <w:type w:val="continuous"/>
        </w:sectPr>
      </w:pPr>
    </w:p>
    <w:bookmarkStart w:id="1" w:name="page2"/>
    <w:bookmarkEnd w:id="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20" w:type="dxa"/>
            <w:vAlign w:val="bottom"/>
            <w:gridSpan w:val="6"/>
          </w:tcPr>
          <w:p>
            <w:pPr>
              <w:ind w:left="100"/>
              <w:spacing w:after="0"/>
              <w:rPr>
                <w:sz w:val="20"/>
                <w:szCs w:val="20"/>
                <w:color w:val="auto"/>
              </w:rPr>
            </w:pPr>
            <w:r>
              <w:rPr>
                <w:rFonts w:ascii="Arial" w:cs="Arial" w:eastAsia="Arial" w:hAnsi="Arial"/>
                <w:sz w:val="16"/>
                <w:szCs w:val="16"/>
                <w:b w:val="1"/>
                <w:bCs w:val="1"/>
                <w:color w:val="auto"/>
              </w:rPr>
              <w:t>TABLE OF CONTENTS</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40" w:type="dxa"/>
            <w:vAlign w:val="bottom"/>
            <w:gridSpan w:val="6"/>
            <w:vMerge w:val="restart"/>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jc w:val="right"/>
              <w:ind w:right="58"/>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0"/>
        </w:trPr>
        <w:tc>
          <w:tcPr>
            <w:tcW w:w="1140" w:type="dxa"/>
            <w:vAlign w:val="bottom"/>
            <w:gridSpan w:val="6"/>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w:t>
            </w:r>
          </w:p>
        </w:tc>
        <w:tc>
          <w:tcPr>
            <w:tcW w:w="8520" w:type="dxa"/>
            <w:vAlign w:val="bottom"/>
            <w:gridSpan w:val="20"/>
          </w:tcPr>
          <w:p>
            <w:pPr>
              <w:spacing w:after="0" w:line="176" w:lineRule="exact"/>
              <w:rPr>
                <w:rFonts w:ascii="Arial" w:cs="Arial" w:eastAsia="Arial" w:hAnsi="Arial"/>
                <w:sz w:val="16"/>
                <w:szCs w:val="16"/>
                <w:color w:val="0000EE"/>
              </w:rPr>
            </w:pPr>
            <w:hyperlink w:anchor="page3">
              <w:r>
                <w:rPr>
                  <w:rFonts w:ascii="Arial" w:cs="Arial" w:eastAsia="Arial" w:hAnsi="Arial"/>
                  <w:sz w:val="16"/>
                  <w:szCs w:val="16"/>
                  <w:color w:val="0000EE"/>
                </w:rPr>
                <w:t>Business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1A.</w:t>
            </w:r>
          </w:p>
        </w:tc>
        <w:tc>
          <w:tcPr>
            <w:tcW w:w="8520" w:type="dxa"/>
            <w:vAlign w:val="bottom"/>
            <w:gridSpan w:val="20"/>
          </w:tcPr>
          <w:p>
            <w:pPr>
              <w:spacing w:after="0" w:line="176" w:lineRule="exact"/>
              <w:rPr>
                <w:rFonts w:ascii="Arial" w:cs="Arial" w:eastAsia="Arial" w:hAnsi="Arial"/>
                <w:sz w:val="16"/>
                <w:szCs w:val="16"/>
                <w:color w:val="0000EE"/>
              </w:rPr>
            </w:pPr>
            <w:hyperlink w:anchor="page11">
              <w:r>
                <w:rPr>
                  <w:rFonts w:ascii="Arial" w:cs="Arial" w:eastAsia="Arial" w:hAnsi="Arial"/>
                  <w:sz w:val="16"/>
                  <w:szCs w:val="16"/>
                  <w:color w:val="0000EE"/>
                </w:rPr>
                <w:t>Risk Factors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1B.</w:t>
            </w:r>
          </w:p>
        </w:tc>
        <w:tc>
          <w:tcPr>
            <w:tcW w:w="8520" w:type="dxa"/>
            <w:vAlign w:val="bottom"/>
            <w:gridSpan w:val="20"/>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Unresolved Staff Comments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2.</w:t>
            </w:r>
          </w:p>
        </w:tc>
        <w:tc>
          <w:tcPr>
            <w:tcW w:w="680" w:type="dxa"/>
            <w:vAlign w:val="bottom"/>
            <w:tcBorders>
              <w:top w:val="single" w:sz="8" w:color="0000EE"/>
              <w:bottom w:val="single" w:sz="8" w:color="0000EE"/>
            </w:tcBorders>
            <w:gridSpan w:val="2"/>
          </w:tcPr>
          <w:p>
            <w:pPr>
              <w:spacing w:after="0" w:line="176" w:lineRule="exact"/>
              <w:rPr>
                <w:rFonts w:ascii="Arial" w:cs="Arial" w:eastAsia="Arial" w:hAnsi="Arial"/>
                <w:sz w:val="16"/>
                <w:szCs w:val="16"/>
                <w:color w:val="0000EE"/>
                <w:w w:val="90"/>
              </w:rPr>
            </w:pPr>
            <w:hyperlink w:anchor="page13">
              <w:r>
                <w:rPr>
                  <w:rFonts w:ascii="Arial" w:cs="Arial" w:eastAsia="Arial" w:hAnsi="Arial"/>
                  <w:sz w:val="16"/>
                  <w:szCs w:val="16"/>
                  <w:color w:val="0000EE"/>
                  <w:w w:val="90"/>
                </w:rPr>
                <w:t>Properties</w:t>
              </w:r>
            </w:hyperlink>
          </w:p>
        </w:tc>
        <w:tc>
          <w:tcPr>
            <w:tcW w:w="1180" w:type="dxa"/>
            <w:vAlign w:val="bottom"/>
            <w:tcBorders>
              <w:top w:val="single" w:sz="8" w:color="0000EE"/>
            </w:tcBorders>
            <w:gridSpan w:val="7"/>
          </w:tcPr>
          <w:p>
            <w:pPr>
              <w:spacing w:after="0"/>
              <w:rPr>
                <w:sz w:val="15"/>
                <w:szCs w:val="15"/>
                <w:color w:val="auto"/>
              </w:rPr>
            </w:pPr>
          </w:p>
        </w:tc>
        <w:tc>
          <w:tcPr>
            <w:tcW w:w="6660" w:type="dxa"/>
            <w:vAlign w:val="bottom"/>
            <w:gridSpan w:val="11"/>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3.</w:t>
            </w:r>
          </w:p>
        </w:tc>
        <w:tc>
          <w:tcPr>
            <w:tcW w:w="1220" w:type="dxa"/>
            <w:vAlign w:val="bottom"/>
            <w:tcBorders>
              <w:bottom w:val="single" w:sz="8" w:color="0000EE"/>
            </w:tcBorders>
            <w:gridSpan w:val="5"/>
          </w:tcPr>
          <w:p>
            <w:pPr>
              <w:spacing w:after="0" w:line="176" w:lineRule="exact"/>
              <w:rPr>
                <w:rFonts w:ascii="Arial" w:cs="Arial" w:eastAsia="Arial" w:hAnsi="Arial"/>
                <w:sz w:val="16"/>
                <w:szCs w:val="16"/>
                <w:color w:val="0000EE"/>
                <w:w w:val="90"/>
              </w:rPr>
            </w:pPr>
            <w:hyperlink w:anchor="page13">
              <w:r>
                <w:rPr>
                  <w:rFonts w:ascii="Arial" w:cs="Arial" w:eastAsia="Arial" w:hAnsi="Arial"/>
                  <w:sz w:val="16"/>
                  <w:szCs w:val="16"/>
                  <w:color w:val="0000EE"/>
                  <w:w w:val="90"/>
                </w:rPr>
                <w:t>Legal Proceedings</w:t>
              </w:r>
            </w:hyperlink>
          </w:p>
        </w:tc>
        <w:tc>
          <w:tcPr>
            <w:tcW w:w="7300" w:type="dxa"/>
            <w:vAlign w:val="bottom"/>
            <w:gridSpan w:val="15"/>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4.</w:t>
            </w:r>
          </w:p>
        </w:tc>
        <w:tc>
          <w:tcPr>
            <w:tcW w:w="8520" w:type="dxa"/>
            <w:vAlign w:val="bottom"/>
            <w:gridSpan w:val="20"/>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Mine Safety Disclosures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72"/>
        </w:trPr>
        <w:tc>
          <w:tcPr>
            <w:tcW w:w="600" w:type="dxa"/>
            <w:vAlign w:val="bottom"/>
            <w:tcBorders>
              <w:bottom w:val="single" w:sz="8" w:color="0000EE"/>
            </w:tcBorders>
            <w:gridSpan w:val="3"/>
          </w:tcPr>
          <w:p>
            <w:pPr>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PART II</w:t>
              </w:r>
            </w:hyperlink>
          </w:p>
        </w:tc>
        <w:tc>
          <w:tcPr>
            <w:tcW w:w="540" w:type="dxa"/>
            <w:vAlign w:val="bottom"/>
            <w:gridSpan w:val="3"/>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5.</w:t>
            </w:r>
          </w:p>
        </w:tc>
        <w:tc>
          <w:tcPr>
            <w:tcW w:w="8520" w:type="dxa"/>
            <w:vAlign w:val="bottom"/>
            <w:gridSpan w:val="20"/>
          </w:tcPr>
          <w:p>
            <w:pPr>
              <w:spacing w:after="0" w:line="176" w:lineRule="exact"/>
              <w:rPr>
                <w:rFonts w:ascii="Arial" w:cs="Arial" w:eastAsia="Arial" w:hAnsi="Arial"/>
                <w:sz w:val="16"/>
                <w:szCs w:val="16"/>
                <w:color w:val="0000EE"/>
              </w:rPr>
            </w:pPr>
            <w:hyperlink w:anchor="page14">
              <w:r>
                <w:rPr>
                  <w:rFonts w:ascii="Arial" w:cs="Arial" w:eastAsia="Arial" w:hAnsi="Arial"/>
                  <w:sz w:val="16"/>
                  <w:szCs w:val="16"/>
                  <w:color w:val="0000EE"/>
                </w:rPr>
                <w:t>Market for Registrant’s Common Equity, Related Stockholder Matters and Issuer Purchases of Equity Securities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6.</w:t>
            </w:r>
          </w:p>
        </w:tc>
        <w:tc>
          <w:tcPr>
            <w:tcW w:w="1560" w:type="dxa"/>
            <w:vAlign w:val="bottom"/>
            <w:tcBorders>
              <w:top w:val="single" w:sz="8" w:color="0000EE"/>
              <w:bottom w:val="single" w:sz="8" w:color="0000EE"/>
            </w:tcBorders>
            <w:gridSpan w:val="6"/>
          </w:tcPr>
          <w:p>
            <w:pPr>
              <w:spacing w:after="0" w:line="176" w:lineRule="exact"/>
              <w:rPr>
                <w:rFonts w:ascii="Arial" w:cs="Arial" w:eastAsia="Arial" w:hAnsi="Arial"/>
                <w:sz w:val="16"/>
                <w:szCs w:val="16"/>
                <w:color w:val="0000EE"/>
                <w:w w:val="91"/>
              </w:rPr>
            </w:pPr>
            <w:hyperlink w:anchor="page16">
              <w:r>
                <w:rPr>
                  <w:rFonts w:ascii="Arial" w:cs="Arial" w:eastAsia="Arial" w:hAnsi="Arial"/>
                  <w:sz w:val="16"/>
                  <w:szCs w:val="16"/>
                  <w:color w:val="0000EE"/>
                  <w:w w:val="91"/>
                </w:rPr>
                <w:t>Selected Financial Data</w:t>
              </w:r>
            </w:hyperlink>
          </w:p>
        </w:tc>
        <w:tc>
          <w:tcPr>
            <w:tcW w:w="5760" w:type="dxa"/>
            <w:vAlign w:val="bottom"/>
            <w:tcBorders>
              <w:top w:val="single" w:sz="8" w:color="0000EE"/>
            </w:tcBorders>
            <w:gridSpan w:val="13"/>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7.</w:t>
            </w:r>
          </w:p>
        </w:tc>
        <w:tc>
          <w:tcPr>
            <w:tcW w:w="8520" w:type="dxa"/>
            <w:vAlign w:val="bottom"/>
            <w:gridSpan w:val="20"/>
          </w:tcPr>
          <w:p>
            <w:pPr>
              <w:spacing w:after="0" w:line="176" w:lineRule="exact"/>
              <w:rPr>
                <w:rFonts w:ascii="Arial" w:cs="Arial" w:eastAsia="Arial" w:hAnsi="Arial"/>
                <w:sz w:val="16"/>
                <w:szCs w:val="16"/>
                <w:color w:val="0000EE"/>
              </w:rPr>
            </w:pPr>
            <w:hyperlink w:anchor="page17">
              <w:r>
                <w:rPr>
                  <w:rFonts w:ascii="Arial" w:cs="Arial" w:eastAsia="Arial" w:hAnsi="Arial"/>
                  <w:sz w:val="16"/>
                  <w:szCs w:val="16"/>
                  <w:color w:val="0000EE"/>
                </w:rPr>
                <w:t>Management’s Discussion and Analysis of Financial Condition and Results of Operations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7A.</w:t>
            </w:r>
          </w:p>
        </w:tc>
        <w:tc>
          <w:tcPr>
            <w:tcW w:w="3900" w:type="dxa"/>
            <w:vAlign w:val="bottom"/>
            <w:tcBorders>
              <w:top w:val="single" w:sz="8" w:color="0000EE"/>
              <w:bottom w:val="single" w:sz="8" w:color="0000EE"/>
            </w:tcBorders>
            <w:gridSpan w:val="14"/>
          </w:tcPr>
          <w:p>
            <w:pPr>
              <w:spacing w:after="0" w:line="176" w:lineRule="exact"/>
              <w:rPr>
                <w:rFonts w:ascii="Arial" w:cs="Arial" w:eastAsia="Arial" w:hAnsi="Arial"/>
                <w:sz w:val="16"/>
                <w:szCs w:val="16"/>
                <w:color w:val="0000EE"/>
                <w:w w:val="94"/>
              </w:rPr>
            </w:pPr>
            <w:hyperlink w:anchor="page24">
              <w:r>
                <w:rPr>
                  <w:rFonts w:ascii="Arial" w:cs="Arial" w:eastAsia="Arial" w:hAnsi="Arial"/>
                  <w:sz w:val="16"/>
                  <w:szCs w:val="16"/>
                  <w:color w:val="0000EE"/>
                  <w:w w:val="94"/>
                </w:rPr>
                <w:t>Quantitative and Qualitative Disclosure About Market Risk</w:t>
              </w:r>
            </w:hyperlink>
          </w:p>
        </w:tc>
        <w:tc>
          <w:tcPr>
            <w:tcW w:w="1960" w:type="dxa"/>
            <w:vAlign w:val="bottom"/>
            <w:tcBorders>
              <w:top w:val="single" w:sz="8" w:color="0000EE"/>
            </w:tcBorders>
            <w:gridSpan w:val="2"/>
          </w:tcPr>
          <w:p>
            <w:pPr>
              <w:spacing w:after="0"/>
              <w:rPr>
                <w:sz w:val="15"/>
                <w:szCs w:val="15"/>
                <w:color w:val="auto"/>
              </w:rPr>
            </w:pPr>
          </w:p>
        </w:tc>
        <w:tc>
          <w:tcPr>
            <w:tcW w:w="2660" w:type="dxa"/>
            <w:vAlign w:val="bottom"/>
            <w:gridSpan w:val="4"/>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8.</w:t>
            </w:r>
          </w:p>
        </w:tc>
        <w:tc>
          <w:tcPr>
            <w:tcW w:w="8520" w:type="dxa"/>
            <w:vAlign w:val="bottom"/>
            <w:gridSpan w:val="20"/>
          </w:tcPr>
          <w:p>
            <w:pPr>
              <w:spacing w:after="0" w:line="176" w:lineRule="exact"/>
              <w:rPr>
                <w:rFonts w:ascii="Arial" w:cs="Arial" w:eastAsia="Arial" w:hAnsi="Arial"/>
                <w:sz w:val="16"/>
                <w:szCs w:val="16"/>
                <w:color w:val="0000EE"/>
              </w:rPr>
            </w:pPr>
            <w:hyperlink w:anchor="page25">
              <w:r>
                <w:rPr>
                  <w:rFonts w:ascii="Arial" w:cs="Arial" w:eastAsia="Arial" w:hAnsi="Arial"/>
                  <w:sz w:val="16"/>
                  <w:szCs w:val="16"/>
                  <w:color w:val="0000EE"/>
                </w:rPr>
                <w:t>Financial Statements and Supplementary Data</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9.</w:t>
            </w:r>
          </w:p>
        </w:tc>
        <w:tc>
          <w:tcPr>
            <w:tcW w:w="5880" w:type="dxa"/>
            <w:vAlign w:val="bottom"/>
            <w:tcBorders>
              <w:bottom w:val="single" w:sz="8" w:color="0000EE"/>
            </w:tcBorders>
            <w:gridSpan w:val="17"/>
          </w:tcPr>
          <w:p>
            <w:pPr>
              <w:spacing w:after="0" w:line="176" w:lineRule="exact"/>
              <w:rPr>
                <w:rFonts w:ascii="Arial" w:cs="Arial" w:eastAsia="Arial" w:hAnsi="Arial"/>
                <w:sz w:val="16"/>
                <w:szCs w:val="16"/>
                <w:color w:val="0000EE"/>
                <w:w w:val="92"/>
              </w:rPr>
            </w:pPr>
            <w:hyperlink w:anchor="page46">
              <w:r>
                <w:rPr>
                  <w:rFonts w:ascii="Arial" w:cs="Arial" w:eastAsia="Arial" w:hAnsi="Arial"/>
                  <w:sz w:val="16"/>
                  <w:szCs w:val="16"/>
                  <w:color w:val="0000EE"/>
                  <w:w w:val="92"/>
                </w:rPr>
                <w:t>Changes in and Disagreements with Accountants on Accounting and Financial Disclosure</w:t>
              </w:r>
            </w:hyperlink>
          </w:p>
        </w:tc>
        <w:tc>
          <w:tcPr>
            <w:tcW w:w="2640" w:type="dxa"/>
            <w:vAlign w:val="bottom"/>
            <w:gridSpan w:val="3"/>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9A.</w:t>
            </w:r>
          </w:p>
        </w:tc>
        <w:tc>
          <w:tcPr>
            <w:tcW w:w="1620" w:type="dxa"/>
            <w:vAlign w:val="bottom"/>
            <w:tcBorders>
              <w:bottom w:val="single" w:sz="8" w:color="0000EE"/>
            </w:tcBorders>
            <w:gridSpan w:val="7"/>
          </w:tcPr>
          <w:p>
            <w:pPr>
              <w:spacing w:after="0" w:line="176" w:lineRule="exact"/>
              <w:rPr>
                <w:rFonts w:ascii="Arial" w:cs="Arial" w:eastAsia="Arial" w:hAnsi="Arial"/>
                <w:sz w:val="16"/>
                <w:szCs w:val="16"/>
                <w:color w:val="0000EE"/>
                <w:w w:val="90"/>
              </w:rPr>
            </w:pPr>
            <w:hyperlink w:anchor="page46">
              <w:r>
                <w:rPr>
                  <w:rFonts w:ascii="Arial" w:cs="Arial" w:eastAsia="Arial" w:hAnsi="Arial"/>
                  <w:sz w:val="16"/>
                  <w:szCs w:val="16"/>
                  <w:color w:val="0000EE"/>
                  <w:w w:val="90"/>
                </w:rPr>
                <w:t>Controls and Procedures</w:t>
              </w:r>
            </w:hyperlink>
          </w:p>
        </w:tc>
        <w:tc>
          <w:tcPr>
            <w:tcW w:w="6900" w:type="dxa"/>
            <w:vAlign w:val="bottom"/>
            <w:gridSpan w:val="13"/>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9B.</w:t>
            </w:r>
          </w:p>
        </w:tc>
        <w:tc>
          <w:tcPr>
            <w:tcW w:w="8520" w:type="dxa"/>
            <w:vAlign w:val="bottom"/>
            <w:gridSpan w:val="20"/>
          </w:tcPr>
          <w:p>
            <w:pPr>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Other Information</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72"/>
        </w:trPr>
        <w:tc>
          <w:tcPr>
            <w:tcW w:w="660" w:type="dxa"/>
            <w:vAlign w:val="bottom"/>
            <w:tcBorders>
              <w:bottom w:val="single" w:sz="8" w:color="0000EE"/>
            </w:tcBorders>
            <w:gridSpan w:val="5"/>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PART III</w:t>
              </w:r>
            </w:hyperlink>
          </w:p>
        </w:tc>
        <w:tc>
          <w:tcPr>
            <w:tcW w:w="4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10.</w:t>
            </w:r>
          </w:p>
        </w:tc>
        <w:tc>
          <w:tcPr>
            <w:tcW w:w="3720" w:type="dxa"/>
            <w:vAlign w:val="bottom"/>
            <w:tcBorders>
              <w:bottom w:val="single" w:sz="8" w:color="0000EE"/>
            </w:tcBorders>
            <w:gridSpan w:val="13"/>
          </w:tcPr>
          <w:p>
            <w:pPr>
              <w:spacing w:after="0" w:line="176" w:lineRule="exact"/>
              <w:rPr>
                <w:rFonts w:ascii="Arial" w:cs="Arial" w:eastAsia="Arial" w:hAnsi="Arial"/>
                <w:sz w:val="16"/>
                <w:szCs w:val="16"/>
                <w:color w:val="0000EE"/>
                <w:w w:val="92"/>
              </w:rPr>
            </w:pPr>
            <w:hyperlink w:anchor="page47">
              <w:r>
                <w:rPr>
                  <w:rFonts w:ascii="Arial" w:cs="Arial" w:eastAsia="Arial" w:hAnsi="Arial"/>
                  <w:sz w:val="16"/>
                  <w:szCs w:val="16"/>
                  <w:color w:val="0000EE"/>
                  <w:w w:val="92"/>
                </w:rPr>
                <w:t>Directors, Executive Officers and Corporate Governance</w:t>
              </w:r>
            </w:hyperlink>
          </w:p>
        </w:tc>
        <w:tc>
          <w:tcPr>
            <w:tcW w:w="4800" w:type="dxa"/>
            <w:vAlign w:val="bottom"/>
            <w:gridSpan w:val="7"/>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11.</w:t>
            </w:r>
          </w:p>
        </w:tc>
        <w:tc>
          <w:tcPr>
            <w:tcW w:w="8520" w:type="dxa"/>
            <w:vAlign w:val="bottom"/>
            <w:gridSpan w:val="20"/>
          </w:tcPr>
          <w:p>
            <w:pPr>
              <w:spacing w:after="0" w:line="176" w:lineRule="exact"/>
              <w:rPr>
                <w:rFonts w:ascii="Arial" w:cs="Arial" w:eastAsia="Arial" w:hAnsi="Arial"/>
                <w:sz w:val="16"/>
                <w:szCs w:val="16"/>
                <w:color w:val="0000EE"/>
              </w:rPr>
            </w:pPr>
            <w:hyperlink w:anchor="page48">
              <w:r>
                <w:rPr>
                  <w:rFonts w:ascii="Arial" w:cs="Arial" w:eastAsia="Arial" w:hAnsi="Arial"/>
                  <w:sz w:val="16"/>
                  <w:szCs w:val="16"/>
                  <w:color w:val="0000EE"/>
                </w:rPr>
                <w:t>Executive Compensation</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12.</w:t>
            </w:r>
          </w:p>
        </w:tc>
        <w:tc>
          <w:tcPr>
            <w:tcW w:w="6620" w:type="dxa"/>
            <w:vAlign w:val="bottom"/>
            <w:tcBorders>
              <w:bottom w:val="single" w:sz="8" w:color="0000EE"/>
            </w:tcBorders>
            <w:gridSpan w:val="18"/>
          </w:tcPr>
          <w:p>
            <w:pPr>
              <w:spacing w:after="0" w:line="176" w:lineRule="exact"/>
              <w:rPr>
                <w:rFonts w:ascii="Arial" w:cs="Arial" w:eastAsia="Arial" w:hAnsi="Arial"/>
                <w:sz w:val="16"/>
                <w:szCs w:val="16"/>
                <w:color w:val="0000EE"/>
                <w:w w:val="92"/>
              </w:rPr>
            </w:pPr>
            <w:hyperlink w:anchor="page48">
              <w:r>
                <w:rPr>
                  <w:rFonts w:ascii="Arial" w:cs="Arial" w:eastAsia="Arial" w:hAnsi="Arial"/>
                  <w:sz w:val="16"/>
                  <w:szCs w:val="16"/>
                  <w:color w:val="0000EE"/>
                  <w:w w:val="92"/>
                </w:rPr>
                <w:t>Security Ownership of Certain Beneficial Owners and Management and Related Stockholder Matters</w:t>
              </w:r>
            </w:hyperlink>
          </w:p>
        </w:tc>
        <w:tc>
          <w:tcPr>
            <w:tcW w:w="1900" w:type="dxa"/>
            <w:vAlign w:val="bottom"/>
            <w:gridSpan w:val="2"/>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13.</w:t>
            </w:r>
          </w:p>
        </w:tc>
        <w:tc>
          <w:tcPr>
            <w:tcW w:w="8520" w:type="dxa"/>
            <w:vAlign w:val="bottom"/>
            <w:gridSpan w:val="20"/>
          </w:tcPr>
          <w:p>
            <w:pPr>
              <w:spacing w:after="0" w:line="176" w:lineRule="exact"/>
              <w:rPr>
                <w:rFonts w:ascii="Arial" w:cs="Arial" w:eastAsia="Arial" w:hAnsi="Arial"/>
                <w:sz w:val="16"/>
                <w:szCs w:val="16"/>
                <w:color w:val="0000EE"/>
              </w:rPr>
            </w:pPr>
            <w:hyperlink w:anchor="page48">
              <w:r>
                <w:rPr>
                  <w:rFonts w:ascii="Arial" w:cs="Arial" w:eastAsia="Arial" w:hAnsi="Arial"/>
                  <w:sz w:val="16"/>
                  <w:szCs w:val="16"/>
                  <w:color w:val="0000EE"/>
                </w:rPr>
                <w:t>Certain Relationships and Related Transactions, and Director Independence</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14.</w:t>
            </w:r>
          </w:p>
        </w:tc>
        <w:tc>
          <w:tcPr>
            <w:tcW w:w="4940" w:type="dxa"/>
            <w:vAlign w:val="bottom"/>
            <w:tcBorders>
              <w:top w:val="single" w:sz="8" w:color="0000EE"/>
            </w:tcBorders>
            <w:gridSpan w:val="15"/>
          </w:tcPr>
          <w:p>
            <w:pPr>
              <w:spacing w:after="0" w:line="176" w:lineRule="exact"/>
              <w:rPr>
                <w:rFonts w:ascii="Arial" w:cs="Arial" w:eastAsia="Arial" w:hAnsi="Arial"/>
                <w:sz w:val="16"/>
                <w:szCs w:val="16"/>
                <w:color w:val="0000EE"/>
              </w:rPr>
            </w:pPr>
            <w:hyperlink w:anchor="page48">
              <w:r>
                <w:rPr>
                  <w:rFonts w:ascii="Arial" w:cs="Arial" w:eastAsia="Arial" w:hAnsi="Arial"/>
                  <w:sz w:val="16"/>
                  <w:szCs w:val="16"/>
                  <w:color w:val="0000EE"/>
                </w:rPr>
                <w:t>Principal Accounting Fees and Services</w:t>
              </w:r>
            </w:hyperlink>
          </w:p>
        </w:tc>
        <w:tc>
          <w:tcPr>
            <w:tcW w:w="3580" w:type="dxa"/>
            <w:vAlign w:val="bottom"/>
            <w:gridSpan w:val="5"/>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72"/>
        </w:trPr>
        <w:tc>
          <w:tcPr>
            <w:tcW w:w="1140" w:type="dxa"/>
            <w:vAlign w:val="bottom"/>
            <w:gridSpan w:val="6"/>
          </w:tcPr>
          <w:p>
            <w:pPr>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PART IV</w:t>
              </w:r>
            </w:hyperlink>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gridSpan w:val="5"/>
          </w:tcPr>
          <w:p>
            <w:pPr>
              <w:spacing w:after="0" w:line="176" w:lineRule="exact"/>
              <w:rPr>
                <w:sz w:val="20"/>
                <w:szCs w:val="20"/>
                <w:color w:val="auto"/>
              </w:rPr>
            </w:pPr>
            <w:r>
              <w:rPr>
                <w:rFonts w:ascii="Arial" w:cs="Arial" w:eastAsia="Arial" w:hAnsi="Arial"/>
                <w:sz w:val="16"/>
                <w:szCs w:val="16"/>
                <w:color w:val="auto"/>
              </w:rPr>
              <w:t>ITEM 15.</w:t>
            </w:r>
          </w:p>
        </w:tc>
        <w:tc>
          <w:tcPr>
            <w:tcW w:w="8520" w:type="dxa"/>
            <w:vAlign w:val="bottom"/>
            <w:gridSpan w:val="20"/>
          </w:tcPr>
          <w:p>
            <w:pPr>
              <w:spacing w:after="0" w:line="176" w:lineRule="exact"/>
              <w:rPr>
                <w:rFonts w:ascii="Arial" w:cs="Arial" w:eastAsia="Arial" w:hAnsi="Arial"/>
                <w:sz w:val="16"/>
                <w:szCs w:val="16"/>
                <w:color w:val="0000EE"/>
              </w:rPr>
            </w:pPr>
            <w:hyperlink w:anchor="page48">
              <w:r>
                <w:rPr>
                  <w:rFonts w:ascii="Arial" w:cs="Arial" w:eastAsia="Arial" w:hAnsi="Arial"/>
                  <w:sz w:val="16"/>
                  <w:szCs w:val="16"/>
                  <w:color w:val="0000EE"/>
                </w:rPr>
                <w:t>Exhibits, Financial Statement Schedules</w:t>
              </w:r>
            </w:hyperlink>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0" w:type="dxa"/>
            <w:vAlign w:val="bottom"/>
            <w:tcBorders>
              <w:bottom w:val="single" w:sz="8" w:color="0000EE"/>
            </w:tcBorders>
            <w:gridSpan w:val="5"/>
          </w:tcPr>
          <w:p>
            <w:pPr>
              <w:spacing w:after="0" w:line="176" w:lineRule="exact"/>
              <w:rPr>
                <w:rFonts w:ascii="Arial" w:cs="Arial" w:eastAsia="Arial" w:hAnsi="Arial"/>
                <w:sz w:val="16"/>
                <w:szCs w:val="16"/>
                <w:color w:val="0000EE"/>
                <w:w w:val="94"/>
              </w:rPr>
            </w:pPr>
            <w:hyperlink w:anchor="page51">
              <w:r>
                <w:rPr>
                  <w:rFonts w:ascii="Arial" w:cs="Arial" w:eastAsia="Arial" w:hAnsi="Arial"/>
                  <w:sz w:val="16"/>
                  <w:szCs w:val="16"/>
                  <w:color w:val="0000EE"/>
                  <w:w w:val="94"/>
                </w:rPr>
                <w:t>SIGNATURES</w:t>
              </w:r>
            </w:hyperlink>
          </w:p>
        </w:tc>
        <w:tc>
          <w:tcPr>
            <w:tcW w:w="5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603"/>
        </w:trPr>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40" w:type="dxa"/>
            <w:vAlign w:val="bottom"/>
            <w:gridSpan w:val="15"/>
          </w:tcPr>
          <w:p>
            <w:pPr>
              <w:ind w:left="4540"/>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2" w:name="page3"/>
    <w:bookmarkEnd w:id="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National Beverage Corp. innovatively refreshes America with a distinctive portfolio of sparkling waters, juices and, to a lesser degree, energy drinks. Over the past few years, our carbonated soft drink brands continue to be modified as we endeavor to make them more adaptable to our consumers. We believe our ingenious product designs, innovative packaging and imaginative flavors, along with our corporate culture and philosophy, make National Beverage unique as a stand-alone entity in the beverage industry.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Points of differentiation include the following:</w:t>
      </w:r>
    </w:p>
    <w:p>
      <w:pPr>
        <w:spacing w:after="0" w:line="208" w:lineRule="exact"/>
        <w:rPr>
          <w:sz w:val="20"/>
          <w:szCs w:val="20"/>
          <w:color w:val="auto"/>
        </w:rPr>
      </w:pPr>
    </w:p>
    <w:p>
      <w:pPr>
        <w:jc w:val="both"/>
        <w:ind w:right="5220"/>
        <w:spacing w:after="0" w:line="263" w:lineRule="auto"/>
        <w:rPr>
          <w:sz w:val="20"/>
          <w:szCs w:val="20"/>
          <w:color w:val="auto"/>
        </w:rPr>
      </w:pPr>
      <w:r>
        <w:rPr>
          <w:rFonts w:ascii="Arial" w:cs="Arial" w:eastAsia="Arial" w:hAnsi="Arial"/>
          <w:sz w:val="16"/>
          <w:szCs w:val="16"/>
          <w:i w:val="1"/>
          <w:iCs w:val="1"/>
          <w:color w:val="auto"/>
        </w:rPr>
        <w:t xml:space="preserve">Healthy Transformation </w:t>
      </w:r>
      <w:r>
        <w:rPr>
          <w:rFonts w:ascii="Arial" w:cs="Arial" w:eastAsia="Arial" w:hAnsi="Arial"/>
          <w:sz w:val="16"/>
          <w:szCs w:val="16"/>
          <w:color w:val="auto"/>
        </w:rPr>
        <w:t>– We focus on developing and delighting consumers with healthier</w:t>
      </w:r>
      <w:r>
        <w:rPr>
          <w:rFonts w:ascii="Arial" w:cs="Arial" w:eastAsia="Arial" w:hAnsi="Arial"/>
          <w:sz w:val="16"/>
          <w:szCs w:val="16"/>
          <w:i w:val="1"/>
          <w:iCs w:val="1"/>
          <w:color w:val="auto"/>
        </w:rPr>
        <w:t xml:space="preserve"> </w:t>
      </w:r>
      <w:r>
        <w:rPr>
          <w:rFonts w:ascii="Arial" w:cs="Arial" w:eastAsia="Arial" w:hAnsi="Arial"/>
          <w:sz w:val="16"/>
          <w:szCs w:val="16"/>
          <w:color w:val="auto"/>
        </w:rPr>
        <w:t>beverages in response to the global shift in consumer buying habits. We are committed to tailoring the variety and types of beverages in our portfolio to satisfy the preferences of a diverse mix of consumers including ‘crossover consumers’ – a growing group desiring a healthier alternative to artificially sweetened or high-calorie beverages.</w:t>
      </w:r>
    </w:p>
    <w:p>
      <w:pPr>
        <w:spacing w:after="0" w:line="167" w:lineRule="exact"/>
        <w:rPr>
          <w:sz w:val="20"/>
          <w:szCs w:val="20"/>
          <w:color w:val="auto"/>
        </w:rPr>
      </w:pPr>
    </w:p>
    <w:p>
      <w:pPr>
        <w:jc w:val="both"/>
        <w:ind w:right="5220"/>
        <w:spacing w:after="0" w:line="260" w:lineRule="auto"/>
        <w:rPr>
          <w:sz w:val="20"/>
          <w:szCs w:val="20"/>
          <w:color w:val="auto"/>
        </w:rPr>
      </w:pPr>
      <w:r>
        <w:rPr>
          <w:rFonts w:ascii="Arial" w:cs="Arial" w:eastAsia="Arial" w:hAnsi="Arial"/>
          <w:sz w:val="16"/>
          <w:szCs w:val="16"/>
          <w:i w:val="1"/>
          <w:iCs w:val="1"/>
          <w:color w:val="auto"/>
        </w:rPr>
        <w:t xml:space="preserve">Flavor Innovation – </w:t>
      </w:r>
      <w:r>
        <w:rPr>
          <w:rFonts w:ascii="Arial" w:cs="Arial" w:eastAsia="Arial" w:hAnsi="Arial"/>
          <w:sz w:val="16"/>
          <w:szCs w:val="16"/>
          <w:color w:val="auto"/>
        </w:rPr>
        <w:t>Building on a rich tradition of flavor and brand innovation with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a 125 year history of development with iconic brands such as Shasta® and Faygo®, we have extended our flavor and essence leadership and technical expertise to the sparkling water category. Proprietary flavors and essences are developed and tested in-house and only made commercially available after extensive concept and sensory evaluation. Our variety of distinctive flavors provides us a unique advantage with today’s consumers who demand variety and refreshing beverage alternatives.</w:t>
      </w:r>
    </w:p>
    <w:p>
      <w:pPr>
        <w:spacing w:after="0" w:line="171" w:lineRule="exact"/>
        <w:rPr>
          <w:sz w:val="20"/>
          <w:szCs w:val="20"/>
          <w:color w:val="auto"/>
        </w:rPr>
      </w:pPr>
    </w:p>
    <w:p>
      <w:pPr>
        <w:jc w:val="both"/>
        <w:ind w:right="5220"/>
        <w:spacing w:after="0" w:line="280" w:lineRule="auto"/>
        <w:rPr>
          <w:sz w:val="20"/>
          <w:szCs w:val="20"/>
          <w:color w:val="auto"/>
        </w:rPr>
      </w:pPr>
      <w:r>
        <w:rPr>
          <w:rFonts w:ascii="Arial" w:cs="Arial" w:eastAsia="Arial" w:hAnsi="Arial"/>
          <w:sz w:val="15"/>
          <w:szCs w:val="15"/>
          <w:i w:val="1"/>
          <w:iCs w:val="1"/>
          <w:color w:val="auto"/>
        </w:rPr>
        <w:t xml:space="preserve">Innovation Ethic </w:t>
      </w:r>
      <w:r>
        <w:rPr>
          <w:rFonts w:ascii="Arial" w:cs="Arial" w:eastAsia="Arial" w:hAnsi="Arial"/>
          <w:sz w:val="15"/>
          <w:szCs w:val="15"/>
          <w:color w:val="auto"/>
        </w:rPr>
        <w:t>– We believe that innovative marketing, packaging and consumer</w:t>
      </w:r>
      <w:r>
        <w:rPr>
          <w:rFonts w:ascii="Arial" w:cs="Arial" w:eastAsia="Arial" w:hAnsi="Arial"/>
          <w:sz w:val="15"/>
          <w:szCs w:val="15"/>
          <w:i w:val="1"/>
          <w:iCs w:val="1"/>
          <w:color w:val="auto"/>
        </w:rPr>
        <w:t xml:space="preserve"> </w:t>
      </w:r>
      <w:r>
        <w:rPr>
          <w:rFonts w:ascii="Arial" w:cs="Arial" w:eastAsia="Arial" w:hAnsi="Arial"/>
          <w:sz w:val="15"/>
          <w:szCs w:val="15"/>
          <w:color w:val="auto"/>
        </w:rPr>
        <w:t>engagement is more effective in today’s marketplace than traditional higher-cost national</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advertising. In addition to our cost-effective social media platforms, we utilize regionally-focused marketing programs and in-store “brand ambassadors” to interact and obtain feedback from our consumers. We also believe the design of our packages and the overall optical effect of their placement on the shelf (“shelf marketing”) has become more important as millennials and younger generations become increasingly influential consumers, and are now influencing baby boomers and older generations.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ind w:left="4000"/>
        <w:spacing w:after="0" w:line="280" w:lineRule="auto"/>
        <w:rPr>
          <w:sz w:val="20"/>
          <w:szCs w:val="20"/>
          <w:color w:val="auto"/>
        </w:rPr>
      </w:pPr>
      <w:r>
        <w:rPr>
          <w:rFonts w:ascii="Arial" w:cs="Arial" w:eastAsia="Arial" w:hAnsi="Arial"/>
          <w:sz w:val="15"/>
          <w:szCs w:val="15"/>
          <w:i w:val="1"/>
          <w:iCs w:val="1"/>
          <w:color w:val="auto"/>
        </w:rPr>
        <w:t xml:space="preserve">Creative Dynamics </w:t>
      </w:r>
      <w:r>
        <w:rPr>
          <w:rFonts w:ascii="Arial" w:cs="Arial" w:eastAsia="Arial" w:hAnsi="Arial"/>
          <w:sz w:val="15"/>
          <w:szCs w:val="15"/>
          <w:color w:val="auto"/>
        </w:rPr>
        <w:t>– In a beverage industry that is dominated by the “cola giants”, we pride ourselves on being</w:t>
      </w:r>
      <w:r>
        <w:rPr>
          <w:rFonts w:ascii="Arial" w:cs="Arial" w:eastAsia="Arial" w:hAnsi="Arial"/>
          <w:sz w:val="15"/>
          <w:szCs w:val="15"/>
          <w:i w:val="1"/>
          <w:iCs w:val="1"/>
          <w:color w:val="auto"/>
        </w:rPr>
        <w:t xml:space="preserve"> </w:t>
      </w:r>
      <w:r>
        <w:rPr>
          <w:rFonts w:ascii="Arial" w:cs="Arial" w:eastAsia="Arial" w:hAnsi="Arial"/>
          <w:sz w:val="15"/>
          <w:szCs w:val="15"/>
          <w:color w:val="auto"/>
        </w:rPr>
        <w:t>smaller, faster and stronger. We believe we are able to respond faster and more creatively to consumer trends than competitors who are burdened by legacy production and distribution complexity and costs. The ability to identify consumer trends and create new product concepts to lead the market defines our new product development model. Speed to market with the appropriate concept, unique flavor creation and trend-forward ‘better-for-you’ ingredients continues to be our goal. Internal development teams are responsible for concept creation, packaging and design, which allow for rapid ‘go to market’ timing and reduced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-885825</wp:posOffset>
            </wp:positionV>
            <wp:extent cx="2463800" cy="1585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3800" cy="1585595"/>
                    </a:xfrm>
                    <a:prstGeom prst="rect">
                      <a:avLst/>
                    </a:prstGeom>
                    <a:noFill/>
                  </pic:spPr>
                </pic:pic>
              </a:graphicData>
            </a:graphic>
          </wp:anchor>
        </w:drawing>
      </w:r>
    </w:p>
    <w:p>
      <w:pPr>
        <w:spacing w:after="0" w:line="138" w:lineRule="exact"/>
        <w:rPr>
          <w:sz w:val="20"/>
          <w:szCs w:val="20"/>
          <w:color w:val="auto"/>
        </w:rPr>
      </w:pPr>
    </w:p>
    <w:p>
      <w:pPr>
        <w:ind w:left="4000" w:right="80"/>
        <w:spacing w:after="0" w:line="361" w:lineRule="auto"/>
        <w:rPr>
          <w:sz w:val="20"/>
          <w:szCs w:val="20"/>
          <w:color w:val="auto"/>
        </w:rPr>
      </w:pPr>
      <w:r>
        <w:rPr>
          <w:rFonts w:ascii="Arial" w:cs="Arial" w:eastAsia="Arial" w:hAnsi="Arial"/>
          <w:sz w:val="14"/>
          <w:szCs w:val="14"/>
          <w:color w:val="auto"/>
        </w:rPr>
        <w:t>Presently, our primary market focus is the United States and Canada. Certain of our products are also distributed on a limited basis in other countries and options to expand distribution to other regions are being considered.</w:t>
      </w:r>
    </w:p>
    <w:p>
      <w:pPr>
        <w:spacing w:after="0" w:line="103" w:lineRule="exact"/>
        <w:rPr>
          <w:sz w:val="20"/>
          <w:szCs w:val="20"/>
          <w:color w:val="auto"/>
        </w:rPr>
      </w:pPr>
    </w:p>
    <w:p>
      <w:pPr>
        <w:ind w:left="4000" w:right="200"/>
        <w:spacing w:after="0" w:line="300" w:lineRule="auto"/>
        <w:rPr>
          <w:sz w:val="20"/>
          <w:szCs w:val="20"/>
          <w:color w:val="auto"/>
        </w:rPr>
      </w:pPr>
      <w:r>
        <w:rPr>
          <w:rFonts w:ascii="Arial" w:cs="Arial" w:eastAsia="Arial" w:hAnsi="Arial"/>
          <w:sz w:val="14"/>
          <w:szCs w:val="14"/>
          <w:color w:val="auto"/>
        </w:rPr>
        <w:t>National Beverage Corp. is incorporated in Delaware and began trading as a public company on the NASDAQ Stock Market in 1991. In this report, the terms “we,” “us,” “our,” “Company” and “National Beverage” mean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National Beverage Corp. and its subsidiaries unless indicated otherwise.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BRANDS</w:t>
      </w: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brands consist of beverages geared to the active and health-conscious consumer (“Power+ Brands”) including sparkling waters, energy drinks, and juices. Our portfolio of Power+ Brands includes LaCroix®, LaCroix Cúrate®, LaCroix NiCola® and Shasta® Sparkling Water products; Rip It® energy drinks and shots; and Everfresh®, Everfresh Premier Varietals™ and Mr. Pure® 100% juice and juice-based products. Additionally, we produce and distribute carbonated soft drinks including Shasta® and Faygo®, iconic brands whose consumer loyalty spans more than 125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Brands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LaCroix</w:t>
      </w:r>
    </w:p>
    <w:p>
      <w:pPr>
        <w:spacing w:after="0" w:line="212" w:lineRule="exact"/>
        <w:rPr>
          <w:sz w:val="20"/>
          <w:szCs w:val="20"/>
          <w:color w:val="auto"/>
        </w:rPr>
      </w:pPr>
    </w:p>
    <w:p>
      <w:pPr>
        <w:jc w:val="both"/>
        <w:ind w:left="2500"/>
        <w:spacing w:after="0" w:line="263" w:lineRule="auto"/>
        <w:rPr>
          <w:sz w:val="20"/>
          <w:szCs w:val="20"/>
          <w:color w:val="auto"/>
        </w:rPr>
      </w:pPr>
      <w:r>
        <w:rPr>
          <w:rFonts w:ascii="Arial" w:cs="Arial" w:eastAsia="Arial" w:hAnsi="Arial"/>
          <w:sz w:val="16"/>
          <w:szCs w:val="16"/>
          <w:color w:val="auto"/>
        </w:rPr>
        <w:t xml:space="preserve">100% naturally-essenced LaCroix® Sparkling Water, our most significant and dominant brand, has uniquely redefined the Sparkling Water category that is rapidly becoming the alternative to traditional carbonated soda. With </w:t>
      </w:r>
      <w:r>
        <w:rPr>
          <w:rFonts w:ascii="Arial" w:cs="Arial" w:eastAsia="Arial" w:hAnsi="Arial"/>
          <w:sz w:val="16"/>
          <w:szCs w:val="16"/>
          <w:i w:val="1"/>
          <w:iCs w:val="1"/>
          <w:color w:val="auto"/>
        </w:rPr>
        <w:t>zero</w:t>
      </w:r>
      <w:r>
        <w:rPr>
          <w:rFonts w:ascii="Arial" w:cs="Arial" w:eastAsia="Arial" w:hAnsi="Arial"/>
          <w:sz w:val="16"/>
          <w:szCs w:val="16"/>
          <w:color w:val="auto"/>
        </w:rPr>
        <w:t xml:space="preserve"> calories, </w:t>
      </w:r>
      <w:r>
        <w:rPr>
          <w:rFonts w:ascii="Arial" w:cs="Arial" w:eastAsia="Arial" w:hAnsi="Arial"/>
          <w:sz w:val="16"/>
          <w:szCs w:val="16"/>
          <w:i w:val="1"/>
          <w:iCs w:val="1"/>
          <w:color w:val="auto"/>
        </w:rPr>
        <w:t>zero</w:t>
      </w:r>
      <w:r>
        <w:rPr>
          <w:rFonts w:ascii="Arial" w:cs="Arial" w:eastAsia="Arial" w:hAnsi="Arial"/>
          <w:sz w:val="16"/>
          <w:szCs w:val="16"/>
          <w:color w:val="auto"/>
        </w:rPr>
        <w:t xml:space="preserve"> sweeteners and </w:t>
      </w:r>
      <w:r>
        <w:rPr>
          <w:rFonts w:ascii="Arial" w:cs="Arial" w:eastAsia="Arial" w:hAnsi="Arial"/>
          <w:sz w:val="16"/>
          <w:szCs w:val="16"/>
          <w:i w:val="1"/>
          <w:iCs w:val="1"/>
          <w:color w:val="auto"/>
        </w:rPr>
        <w:t>zero</w:t>
      </w:r>
      <w:r>
        <w:rPr>
          <w:rFonts w:ascii="Arial" w:cs="Arial" w:eastAsia="Arial" w:hAnsi="Arial"/>
          <w:sz w:val="16"/>
          <w:szCs w:val="16"/>
          <w:color w:val="auto"/>
        </w:rPr>
        <w:t xml:space="preserve"> sodium, the </w:t>
      </w:r>
      <w:r>
        <w:rPr>
          <w:rFonts w:ascii="Arial" w:cs="Arial" w:eastAsia="Arial" w:hAnsi="Arial"/>
          <w:sz w:val="16"/>
          <w:szCs w:val="16"/>
          <w:i w:val="1"/>
          <w:iCs w:val="1"/>
          <w:color w:val="auto"/>
        </w:rPr>
        <w:t>innocence</w:t>
      </w:r>
      <w:r>
        <w:rPr>
          <w:rFonts w:ascii="Arial" w:cs="Arial" w:eastAsia="Arial" w:hAnsi="Arial"/>
          <w:sz w:val="16"/>
          <w:szCs w:val="16"/>
          <w:color w:val="auto"/>
        </w:rPr>
        <w:t xml:space="preserve"> of LaCroix has propelled it to the top-selling domestic sparkling water. Naturally essenced, LaCroix has gained the support of national retailers in multiple channels, including mass merchants, mainstream supermarkets and natural and specialty food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-631825</wp:posOffset>
            </wp:positionV>
            <wp:extent cx="1554480" cy="1554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4480" cy="1554480"/>
                    </a:xfrm>
                    <a:prstGeom prst="rect">
                      <a:avLst/>
                    </a:prstGeom>
                    <a:noFill/>
                  </pic:spPr>
                </pic:pic>
              </a:graphicData>
            </a:graphic>
          </wp:anchor>
        </w:drawing>
      </w:r>
    </w:p>
    <w:p>
      <w:pPr>
        <w:spacing w:after="0" w:line="147" w:lineRule="exact"/>
        <w:rPr>
          <w:sz w:val="20"/>
          <w:szCs w:val="20"/>
          <w:color w:val="auto"/>
        </w:rPr>
      </w:pPr>
    </w:p>
    <w:p>
      <w:pPr>
        <w:jc w:val="both"/>
        <w:ind w:left="2500"/>
        <w:spacing w:after="0" w:line="270" w:lineRule="auto"/>
        <w:rPr>
          <w:sz w:val="20"/>
          <w:szCs w:val="20"/>
          <w:color w:val="auto"/>
        </w:rPr>
      </w:pPr>
      <w:r>
        <w:rPr>
          <w:rFonts w:ascii="Arial" w:cs="Arial" w:eastAsia="Arial" w:hAnsi="Arial"/>
          <w:sz w:val="16"/>
          <w:szCs w:val="16"/>
          <w:color w:val="auto"/>
        </w:rPr>
        <w:t>LaCroix’s dynamic ‘theme’ LaCroix Cúrate® (‘Cure Yourself’) celebrates French sophistication with Spanish zest and bold flavors. Cúrate naturally refreshes in tall 12 oz. consumer-favored cans. Eloquent graphics, robust aroma, naturally ‘essenced’ and premium-priced, Cúrate is a trendsetting addition to a brand that is the healthy alternative for trend-forward consumers.</w:t>
      </w:r>
    </w:p>
    <w:p>
      <w:pPr>
        <w:spacing w:after="0" w:line="162" w:lineRule="exact"/>
        <w:rPr>
          <w:sz w:val="20"/>
          <w:szCs w:val="20"/>
          <w:color w:val="auto"/>
        </w:rPr>
      </w:pPr>
    </w:p>
    <w:p>
      <w:pPr>
        <w:jc w:val="both"/>
        <w:ind w:left="2500"/>
        <w:spacing w:after="0" w:line="265" w:lineRule="auto"/>
        <w:rPr>
          <w:sz w:val="20"/>
          <w:szCs w:val="20"/>
          <w:color w:val="auto"/>
        </w:rPr>
      </w:pPr>
      <w:r>
        <w:rPr>
          <w:rFonts w:ascii="Arial" w:cs="Arial" w:eastAsia="Arial" w:hAnsi="Arial"/>
          <w:sz w:val="16"/>
          <w:szCs w:val="16"/>
          <w:color w:val="auto"/>
        </w:rPr>
        <w:t>NiCola® by LaCroix, an innovative sparkling water captures the ‘crossover’ cola consumers with its ‘</w:t>
      </w:r>
      <w:r>
        <w:rPr>
          <w:rFonts w:ascii="Arial" w:cs="Arial" w:eastAsia="Arial" w:hAnsi="Arial"/>
          <w:sz w:val="16"/>
          <w:szCs w:val="16"/>
          <w:i w:val="1"/>
          <w:iCs w:val="1"/>
          <w:color w:val="auto"/>
        </w:rPr>
        <w:t>innocent</w:t>
      </w:r>
      <w:r>
        <w:rPr>
          <w:rFonts w:ascii="Arial" w:cs="Arial" w:eastAsia="Arial" w:hAnsi="Arial"/>
          <w:sz w:val="16"/>
          <w:szCs w:val="16"/>
          <w:color w:val="auto"/>
        </w:rPr>
        <w:t>’ effect of no calories, sodium, sweetener or any ingredient that the health-conscious consumer avoids. NiCola is designed for those cola and diet cola consumers within the $82 billion U.S. carbonated soft drink market who are looking to continue to quench their cola-craving taste without negative health consequences.</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 LaCroix themes are in development and feature unique packaging, ground-breaking flavor concepts, and a go-to-market strategy designed to maximize cultural demographic concepts.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Shasta Sparkling</w:t>
      </w:r>
    </w:p>
    <w:p>
      <w:pPr>
        <w:spacing w:after="0" w:line="212" w:lineRule="exact"/>
        <w:rPr>
          <w:sz w:val="20"/>
          <w:szCs w:val="20"/>
          <w:color w:val="auto"/>
        </w:rPr>
      </w:pPr>
    </w:p>
    <w:p>
      <w:pPr>
        <w:jc w:val="both"/>
        <w:ind w:right="4200"/>
        <w:spacing w:after="0" w:line="288" w:lineRule="auto"/>
        <w:rPr>
          <w:sz w:val="20"/>
          <w:szCs w:val="20"/>
          <w:color w:val="auto"/>
        </w:rPr>
      </w:pPr>
      <w:r>
        <w:rPr>
          <w:rFonts w:ascii="Arial" w:cs="Arial" w:eastAsia="Arial" w:hAnsi="Arial"/>
          <w:sz w:val="15"/>
          <w:szCs w:val="15"/>
          <w:color w:val="auto"/>
        </w:rPr>
        <w:t>Shasta® Sparkling Water duplicates the iconic flavors that have charmed its loyal consumers over the past 125 plus years with the first genuine soft-drink alternative (SDA). Shasta Sparkling is naturally-essenced without calories, sodium and sweeteners. ‘</w:t>
      </w:r>
      <w:r>
        <w:rPr>
          <w:rFonts w:ascii="Arial" w:cs="Arial" w:eastAsia="Arial" w:hAnsi="Arial"/>
          <w:sz w:val="15"/>
          <w:szCs w:val="15"/>
          <w:i w:val="1"/>
          <w:iCs w:val="1"/>
          <w:color w:val="auto"/>
        </w:rPr>
        <w:t>Simply Natural and Smartly Healthy,’</w:t>
      </w:r>
      <w:r>
        <w:rPr>
          <w:rFonts w:ascii="Arial" w:cs="Arial" w:eastAsia="Arial" w:hAnsi="Arial"/>
          <w:sz w:val="15"/>
          <w:szCs w:val="15"/>
          <w:color w:val="auto"/>
        </w:rPr>
        <w:t xml:space="preserve"> Shasta Sparkling continues to gain focused distribution in progressive retailers backed by enthusiastic consumer and brand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-516890</wp:posOffset>
            </wp:positionV>
            <wp:extent cx="2595880" cy="141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5880" cy="1414780"/>
                    </a:xfrm>
                    <a:prstGeom prst="rect">
                      <a:avLst/>
                    </a:prstGeom>
                    <a:noFill/>
                  </pic:spPr>
                </pic:pic>
              </a:graphicData>
            </a:graphic>
          </wp:anchor>
        </w:drawing>
      </w:r>
    </w:p>
    <w:p>
      <w:pPr>
        <w:spacing w:after="0" w:line="131" w:lineRule="exact"/>
        <w:rPr>
          <w:sz w:val="20"/>
          <w:szCs w:val="20"/>
          <w:color w:val="auto"/>
        </w:rPr>
      </w:pPr>
    </w:p>
    <w:p>
      <w:pPr>
        <w:jc w:val="both"/>
        <w:ind w:right="4200"/>
        <w:spacing w:after="0" w:line="265" w:lineRule="auto"/>
        <w:rPr>
          <w:sz w:val="20"/>
          <w:szCs w:val="20"/>
          <w:color w:val="auto"/>
        </w:rPr>
      </w:pPr>
      <w:r>
        <w:rPr>
          <w:rFonts w:ascii="Arial" w:cs="Arial" w:eastAsia="Arial" w:hAnsi="Arial"/>
          <w:sz w:val="16"/>
          <w:szCs w:val="16"/>
          <w:color w:val="auto"/>
        </w:rPr>
        <w:t>This innovative beverage provides consumers nostalgic Shasta flavors in an entirely “</w:t>
      </w:r>
      <w:r>
        <w:rPr>
          <w:rFonts w:ascii="Arial" w:cs="Arial" w:eastAsia="Arial" w:hAnsi="Arial"/>
          <w:sz w:val="16"/>
          <w:szCs w:val="16"/>
          <w:i w:val="1"/>
          <w:iCs w:val="1"/>
          <w:color w:val="auto"/>
        </w:rPr>
        <w:t>innocent”</w:t>
      </w:r>
      <w:r>
        <w:rPr>
          <w:rFonts w:ascii="Arial" w:cs="Arial" w:eastAsia="Arial" w:hAnsi="Arial"/>
          <w:sz w:val="16"/>
          <w:szCs w:val="16"/>
          <w:color w:val="auto"/>
        </w:rPr>
        <w:t xml:space="preserve"> and exciting alternative, including Lemon-Lime Splash, Draft Root Beer, Shasta Cola, California Orange, Original Pure and Big Black Cherry. Shasta Sparkling complements a healthier lifestyle with its eloquent design and packaging in tall 10.5 ounce cans with an industry-first “clean” label.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Everfresh and Mr. Pure</w:t>
      </w:r>
    </w:p>
    <w:p>
      <w:pPr>
        <w:spacing w:after="0" w:line="212" w:lineRule="exact"/>
        <w:rPr>
          <w:sz w:val="20"/>
          <w:szCs w:val="20"/>
          <w:color w:val="auto"/>
        </w:rPr>
      </w:pPr>
    </w:p>
    <w:p>
      <w:pPr>
        <w:jc w:val="both"/>
        <w:ind w:left="4300"/>
        <w:spacing w:after="0" w:line="288" w:lineRule="auto"/>
        <w:rPr>
          <w:sz w:val="20"/>
          <w:szCs w:val="20"/>
          <w:color w:val="auto"/>
        </w:rPr>
      </w:pPr>
      <w:r>
        <w:rPr>
          <w:rFonts w:ascii="Arial" w:cs="Arial" w:eastAsia="Arial" w:hAnsi="Arial"/>
          <w:sz w:val="15"/>
          <w:szCs w:val="15"/>
          <w:color w:val="auto"/>
        </w:rPr>
        <w:t>Everfresh® and Mr. Pure® 100% juice and juice drinks are available in a variety of flavors, from such classics as Orange, Cranberry and flavored lemonades to exotics that include Premium Papaya, Pineapple Mango, Peach Watermelon and Island Punch. Distributed primarily in the Midwest, the brands’ signature package is a hot-filled, 16 oz. glass bottle primarily for single-serve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-516890</wp:posOffset>
            </wp:positionV>
            <wp:extent cx="2650490" cy="1383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0490" cy="1383665"/>
                    </a:xfrm>
                    <a:prstGeom prst="rect">
                      <a:avLst/>
                    </a:prstGeom>
                    <a:noFill/>
                  </pic:spPr>
                </pic:pic>
              </a:graphicData>
            </a:graphic>
          </wp:anchor>
        </w:drawing>
      </w:r>
    </w:p>
    <w:p>
      <w:pPr>
        <w:spacing w:after="0" w:line="131" w:lineRule="exact"/>
        <w:rPr>
          <w:sz w:val="20"/>
          <w:szCs w:val="20"/>
          <w:color w:val="auto"/>
        </w:rPr>
      </w:pPr>
    </w:p>
    <w:p>
      <w:pPr>
        <w:jc w:val="both"/>
        <w:ind w:left="4300"/>
        <w:spacing w:after="0" w:line="265" w:lineRule="auto"/>
        <w:rPr>
          <w:sz w:val="20"/>
          <w:szCs w:val="20"/>
          <w:color w:val="auto"/>
        </w:rPr>
      </w:pPr>
      <w:r>
        <w:rPr>
          <w:rFonts w:ascii="Arial" w:cs="Arial" w:eastAsia="Arial" w:hAnsi="Arial"/>
          <w:sz w:val="16"/>
          <w:szCs w:val="16"/>
          <w:color w:val="auto"/>
        </w:rPr>
        <w:t>Everfresh Premier Varietals™, a unique theme from Everfresh, is positioned as a stand-alone brand for display in the produce section of supermarkets. Everfresh Premier Varietals is a premium line of 100% natural apple juice derived from a variety of apples specific to the taste of the varietal, such as Granny Smith, McIntosh, Honey Crisp, Golden Delicious, Fuji and Pink Lady.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Rip It</w:t>
      </w:r>
    </w:p>
    <w:p>
      <w:pPr>
        <w:spacing w:after="0" w:line="212" w:lineRule="exact"/>
        <w:rPr>
          <w:sz w:val="20"/>
          <w:szCs w:val="20"/>
          <w:color w:val="auto"/>
        </w:rPr>
      </w:pPr>
    </w:p>
    <w:p>
      <w:pPr>
        <w:jc w:val="both"/>
        <w:ind w:right="2240"/>
        <w:spacing w:after="0" w:line="265" w:lineRule="auto"/>
        <w:rPr>
          <w:sz w:val="20"/>
          <w:szCs w:val="20"/>
          <w:color w:val="auto"/>
        </w:rPr>
      </w:pPr>
      <w:r>
        <w:rPr>
          <w:rFonts w:ascii="Arial" w:cs="Arial" w:eastAsia="Arial" w:hAnsi="Arial"/>
          <w:sz w:val="16"/>
          <w:szCs w:val="16"/>
          <w:color w:val="auto"/>
        </w:rPr>
        <w:t>Rip It® Energy Fuel is ‘Real Energy for Real People’ offering flavor freedom in 14 exceptional flavors with 6 sugar free options. With its unique positioning, Rip It continues to gain fans in the growing energy category. Rip It “Tribute” themed energy is a successful military-inspired addition to the lineup. Building on the flavor tradition of original Rip It, a 2 oz. sugar-free shot version in eight flavors is marketed through our distribution system in displayable package configurations.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-507365</wp:posOffset>
            </wp:positionV>
            <wp:extent cx="1352550" cy="1235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2550" cy="123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Carbonated Soft Drinks –</w:t>
      </w:r>
    </w:p>
    <w:p>
      <w:pPr>
        <w:spacing w:after="0" w:line="217" w:lineRule="exact"/>
        <w:rPr>
          <w:sz w:val="20"/>
          <w:szCs w:val="20"/>
          <w:color w:val="auto"/>
        </w:rPr>
      </w:pPr>
    </w:p>
    <w:p>
      <w:pPr>
        <w:jc w:val="both"/>
        <w:ind w:left="2180"/>
        <w:spacing w:after="0" w:line="263" w:lineRule="auto"/>
        <w:rPr>
          <w:sz w:val="20"/>
          <w:szCs w:val="20"/>
          <w:color w:val="auto"/>
        </w:rPr>
      </w:pPr>
      <w:r>
        <w:rPr>
          <w:rFonts w:ascii="Arial" w:cs="Arial" w:eastAsia="Arial" w:hAnsi="Arial"/>
          <w:sz w:val="16"/>
          <w:szCs w:val="16"/>
          <w:color w:val="auto"/>
        </w:rPr>
        <w:t>More than 125 years old, Shasta® is recognized as a bottling industry pioneer and innovator. Shasta features multiple flavors, including products targeted to the growing Hispanic and other ethnic markets, and continues to earn consumer loyalty by delivering value, convenience and such unique tastes as Raspberry Crème, Pineapple Orange and Very Cherry Twist. More than 110 years old, Faygo® products are primarily distributed east of the Mississippi River and include numerous unique flavors including Red Pop®, Moon Mist®, and Rock’n’Rye®.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-631825</wp:posOffset>
            </wp:positionV>
            <wp:extent cx="1313815" cy="1251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3815" cy="1251585"/>
                    </a:xfrm>
                    <a:prstGeom prst="rect">
                      <a:avLst/>
                    </a:prstGeom>
                    <a:noFill/>
                  </pic:spPr>
                </pic:pic>
              </a:graphicData>
            </a:graphic>
          </wp:anchor>
        </w:drawing>
      </w:r>
    </w:p>
    <w:p>
      <w:pPr>
        <w:spacing w:after="0" w:line="147" w:lineRule="exact"/>
        <w:rPr>
          <w:sz w:val="20"/>
          <w:szCs w:val="20"/>
          <w:color w:val="auto"/>
        </w:rPr>
      </w:pPr>
    </w:p>
    <w:p>
      <w:pPr>
        <w:jc w:val="both"/>
        <w:ind w:left="2180"/>
        <w:spacing w:after="0" w:line="265" w:lineRule="auto"/>
        <w:rPr>
          <w:sz w:val="20"/>
          <w:szCs w:val="20"/>
          <w:color w:val="auto"/>
        </w:rPr>
      </w:pPr>
      <w:r>
        <w:rPr>
          <w:rFonts w:ascii="Arial" w:cs="Arial" w:eastAsia="Arial" w:hAnsi="Arial"/>
          <w:sz w:val="16"/>
          <w:szCs w:val="16"/>
          <w:color w:val="auto"/>
        </w:rPr>
        <w:t>We tailor our marketing and promotion programs by locale; many of our carbonated soft drink brands enjoy a regional identification that fosters long-term consumer loyalty and makes them more competitive as a consumer choice. In addition, products produced locally may generate retailer-sponsored promotional activities and receive media exposure through community activities rather than costly national advertising.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ind w:left="1900" w:right="40"/>
        <w:spacing w:after="0" w:line="265" w:lineRule="auto"/>
        <w:rPr>
          <w:sz w:val="20"/>
          <w:szCs w:val="20"/>
          <w:color w:val="auto"/>
        </w:rPr>
      </w:pPr>
      <w:r>
        <w:rPr>
          <w:rFonts w:ascii="Arial" w:cs="Arial" w:eastAsia="Arial" w:hAnsi="Arial"/>
          <w:sz w:val="16"/>
          <w:szCs w:val="16"/>
          <w:color w:val="auto"/>
        </w:rPr>
        <w:t>During recent years, we reformulated many of our brands to reduce the caloric content while still preserving their time-tested flavor profiles. Our brands, optically and ingredient-wise, are always a work in process. We continually strive to make all our drinks healthier while still maintaining their iconic taste profiles. As often as innovation develops, we endeavor to significantly improve our products, always seeking quality and authenticity over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-507365</wp:posOffset>
            </wp:positionV>
            <wp:extent cx="1134745" cy="128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4745" cy="128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212" w:lineRule="exact"/>
        <w:rPr>
          <w:sz w:val="20"/>
          <w:szCs w:val="20"/>
          <w:color w:val="auto"/>
        </w:rPr>
      </w:pPr>
    </w:p>
    <w:p>
      <w:pPr>
        <w:jc w:val="both"/>
        <w:ind w:right="2780"/>
        <w:spacing w:after="0" w:line="261" w:lineRule="auto"/>
        <w:rPr>
          <w:sz w:val="20"/>
          <w:szCs w:val="20"/>
          <w:color w:val="auto"/>
        </w:rPr>
      </w:pPr>
      <w:r>
        <w:rPr>
          <w:rFonts w:ascii="Arial" w:cs="Arial" w:eastAsia="Arial" w:hAnsi="Arial"/>
          <w:sz w:val="16"/>
          <w:szCs w:val="16"/>
          <w:color w:val="auto"/>
        </w:rPr>
        <w:t>We employ a philosophy that emphasizes vertical integration; our production model integrates the procurement of raw materials and crafting of essences and concentrates with the production of finished products. Our twelve strategically-located production facilities are near major metropolitan markets across the continental United States. The locations of our facilities enable us to efficiently produce and distribute beverages to substantially all geographic markets in the United States, including the top 25 metropolitan statistical areas. Each facility is generally equipped to produce both canned and bottled beverage products in a variety of package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5563870</wp:posOffset>
            </wp:positionH>
            <wp:positionV relativeFrom="paragraph">
              <wp:posOffset>-753745</wp:posOffset>
            </wp:positionV>
            <wp:extent cx="1694180" cy="1508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4180" cy="1508125"/>
                    </a:xfrm>
                    <a:prstGeom prst="rect">
                      <a:avLst/>
                    </a:prstGeom>
                    <a:noFill/>
                  </pic:spPr>
                </pic:pic>
              </a:graphicData>
            </a:graphic>
          </wp:anchor>
        </w:drawing>
      </w:r>
    </w:p>
    <w:p>
      <w:pPr>
        <w:spacing w:after="0" w:line="150" w:lineRule="exact"/>
        <w:rPr>
          <w:sz w:val="20"/>
          <w:szCs w:val="20"/>
          <w:color w:val="auto"/>
        </w:rPr>
      </w:pPr>
    </w:p>
    <w:p>
      <w:pPr>
        <w:jc w:val="both"/>
        <w:ind w:right="2780"/>
        <w:spacing w:after="0" w:line="265" w:lineRule="auto"/>
        <w:rPr>
          <w:sz w:val="20"/>
          <w:szCs w:val="20"/>
          <w:color w:val="auto"/>
        </w:rPr>
      </w:pPr>
      <w:r>
        <w:rPr>
          <w:rFonts w:ascii="Arial" w:cs="Arial" w:eastAsia="Arial" w:hAnsi="Arial"/>
          <w:sz w:val="16"/>
          <w:szCs w:val="16"/>
          <w:color w:val="auto"/>
        </w:rPr>
        <w:t>We believe the innovative and controlled vertical integration of our production facilities provides an advantage over certain of our competitors that rely on independent third-party bottlers to manufacture and market their products. Since we control all national production, distribution and marketing of our brands, we believe we can more effectively manage quality control and consumer appeal while responding quickly to changing market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produce substantially all of the concentrates and essences used in our branded products. By controlling our own formulas</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throughout our bottling network, we can craft our products in accordance with uniform quality standards while innovating flavors to meet changing consumer preferences. We believe the combination of a Company-owned bottling network, together with uniform standards for packaging, formulations and customer service, provides us with a strategic advantage in servicing national retailers and mass-merchandisers. We also maintain research and development laboratories at multiple locations. These laboratories continually test products for compliance with our strict quality control standards as well as conduct research for new products and flavors.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service a diverse customer base that includes numerous national retailers, as well as thousands of smaller “up-and-down-the-street” accounts, we utilize a hybrid distribution system to deliver our products through three primary distribution channels: take-home, convenience and food-service.</w:t>
      </w:r>
    </w:p>
    <w:p>
      <w:pPr>
        <w:spacing w:after="0" w:line="151" w:lineRule="exact"/>
        <w:rPr>
          <w:sz w:val="20"/>
          <w:szCs w:val="20"/>
          <w:color w:val="auto"/>
        </w:rPr>
      </w:pPr>
    </w:p>
    <w:p>
      <w:pPr>
        <w:jc w:val="both"/>
        <w:ind w:right="4600"/>
        <w:spacing w:after="0" w:line="326" w:lineRule="auto"/>
        <w:rPr>
          <w:sz w:val="20"/>
          <w:szCs w:val="20"/>
          <w:color w:val="auto"/>
        </w:rPr>
      </w:pPr>
      <w:r>
        <w:rPr>
          <w:rFonts w:ascii="Arial" w:cs="Arial" w:eastAsia="Arial" w:hAnsi="Arial"/>
          <w:sz w:val="14"/>
          <w:szCs w:val="14"/>
          <w:color w:val="auto"/>
        </w:rPr>
        <w:t>The take-home distribution channel consists of national and regional grocery stores, warehouse clubs, mass-merchandisers, wholesalers and dollar stores. We distribute our products to this channel primarily through the warehouse distribution system and to a lesser extent, the direct-store delivery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4405630</wp:posOffset>
            </wp:positionH>
            <wp:positionV relativeFrom="paragraph">
              <wp:posOffset>-408305</wp:posOffset>
            </wp:positionV>
            <wp:extent cx="2852420" cy="1134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2420" cy="1134745"/>
                    </a:xfrm>
                    <a:prstGeom prst="rect">
                      <a:avLst/>
                    </a:prstGeom>
                    <a:noFill/>
                  </pic:spPr>
                </pic:pic>
              </a:graphicData>
            </a:graphic>
          </wp:anchor>
        </w:drawing>
      </w:r>
    </w:p>
    <w:p>
      <w:pPr>
        <w:spacing w:after="0" w:line="107" w:lineRule="exact"/>
        <w:rPr>
          <w:sz w:val="20"/>
          <w:szCs w:val="20"/>
          <w:color w:val="auto"/>
        </w:rPr>
      </w:pPr>
    </w:p>
    <w:p>
      <w:pPr>
        <w:jc w:val="both"/>
        <w:ind w:right="4600"/>
        <w:spacing w:after="0" w:line="282" w:lineRule="auto"/>
        <w:rPr>
          <w:sz w:val="20"/>
          <w:szCs w:val="20"/>
          <w:color w:val="auto"/>
        </w:rPr>
      </w:pPr>
      <w:r>
        <w:rPr>
          <w:rFonts w:ascii="Arial" w:cs="Arial" w:eastAsia="Arial" w:hAnsi="Arial"/>
          <w:sz w:val="15"/>
          <w:szCs w:val="15"/>
          <w:color w:val="auto"/>
        </w:rPr>
        <w:t>Under the warehouse distribution system, products are shipped from our production facilities to the retailer’s centralized distribution centers and then distributed by the retailer to each of its store locations with other goods. This method allows our retail partners to further maximize assets by utilizing their ability to pick-up product at our warehouses, thus further lowering their/our product costs. Products sold through the direct-store delivery system are distributed directly to the customer’s retail outlets by our direct-store delivery fleet and by independent distributors.</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distribute our products to the convenience channel through our own direct-store delivery fleet and those of independent distributors. The convenience channel consists of convenience stores, gas stations and other smaller “up-and-down-the-street” accounts. Because of the higher retail prices and margins that typically prevail, we have developed packaging and graphics specifically targeted to this market.</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food-service division distributes products to independent, specialized distributors who sell to hospitals, schools, military bases, airlines, hotels and food-service wholesalers. Also, our Company-owned direct-store delivery fleet distributes products to certain schools and other food-service customers.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take-home, convenience and food-service operations use vending machines and glass-door coolers as marketing and promotional tools for our brands. We provide vending machines and coolers on a placement or purchase basis to our customers. We believe vending and cooler equipment magnifies on-site visual trial thus increasing sales and enhancing brand awareness.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5936615</wp:posOffset>
            </wp:positionH>
            <wp:positionV relativeFrom="paragraph">
              <wp:posOffset>-105410</wp:posOffset>
            </wp:positionV>
            <wp:extent cx="1321435" cy="1266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1435" cy="1266825"/>
                    </a:xfrm>
                    <a:prstGeom prst="rect">
                      <a:avLst/>
                    </a:prstGeom>
                    <a:noFill/>
                  </pic:spPr>
                </pic:pic>
              </a:graphicData>
            </a:graphic>
          </wp:anchor>
        </w:drawing>
      </w:r>
    </w:p>
    <w:p>
      <w:pPr>
        <w:spacing w:after="0" w:line="192" w:lineRule="exact"/>
        <w:rPr>
          <w:sz w:val="20"/>
          <w:szCs w:val="20"/>
          <w:color w:val="auto"/>
        </w:rPr>
      </w:pPr>
    </w:p>
    <w:p>
      <w:pPr>
        <w:jc w:val="both"/>
        <w:ind w:right="2200"/>
        <w:spacing w:after="0" w:line="270" w:lineRule="auto"/>
        <w:rPr>
          <w:sz w:val="20"/>
          <w:szCs w:val="20"/>
          <w:color w:val="auto"/>
        </w:rPr>
      </w:pPr>
      <w:r>
        <w:rPr>
          <w:rFonts w:ascii="Arial" w:cs="Arial" w:eastAsia="Arial" w:hAnsi="Arial"/>
          <w:sz w:val="16"/>
          <w:szCs w:val="16"/>
          <w:color w:val="auto"/>
        </w:rPr>
        <w:t>We sell and market our products through an internal sales force as well as specialized broker networks. Our sales force is organized to serve a specific market, focusing on one or more geographic territories, distribution channels or product lines. We believe this focus allows our sales group to provide high level, responsive service and support to our customers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emphasis of our marketing consists of programs to reach consumers directly through innovative digital marketing, digital social marketing, social media engagement and creative content. We are focused on increasing our digital presence and capabilities to further enhance the consumer experience across our brands. We may retain agencies to assist with social media content creative and platform selection for our brands.</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we maintain and enhance consumer brand recognition and loyalty through a combination of regional event participation, special event marketing, endorsements, consumer coupon distribution and product sampling. Additionally, we offer numerous promotional programs to retail customers, including cooperative advertising support, ‘Brand</w:t>
      </w:r>
      <w:r>
        <w:rPr>
          <w:rFonts w:ascii="Arial" w:cs="Arial" w:eastAsia="Arial" w:hAnsi="Arial"/>
          <w:sz w:val="16"/>
          <w:szCs w:val="16"/>
          <w:i w:val="1"/>
          <w:iCs w:val="1"/>
          <w:color w:val="auto"/>
        </w:rPr>
        <w:t>ED</w:t>
      </w:r>
      <w:r>
        <w:rPr>
          <w:rFonts w:ascii="Arial" w:cs="Arial" w:eastAsia="Arial" w:hAnsi="Arial"/>
          <w:sz w:val="16"/>
          <w:szCs w:val="16"/>
          <w:color w:val="auto"/>
        </w:rPr>
        <w:t>’ ambassadors, in-store promotional activities and other incentives. These elements allow marketing and other consumer programs to be tailored to meet local and regional demographics.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MATERIALS</w:t>
      </w:r>
    </w:p>
    <w:p>
      <w:pPr>
        <w:spacing w:after="0" w:line="212" w:lineRule="exact"/>
        <w:rPr>
          <w:sz w:val="20"/>
          <w:szCs w:val="20"/>
          <w:color w:val="auto"/>
        </w:rPr>
      </w:pPr>
    </w:p>
    <w:p>
      <w:pPr>
        <w:jc w:val="both"/>
        <w:ind w:left="1680"/>
        <w:spacing w:after="0" w:line="270" w:lineRule="auto"/>
        <w:rPr>
          <w:sz w:val="20"/>
          <w:szCs w:val="20"/>
          <w:color w:val="auto"/>
        </w:rPr>
      </w:pPr>
      <w:r>
        <w:rPr>
          <w:rFonts w:ascii="Arial" w:cs="Arial" w:eastAsia="Arial" w:hAnsi="Arial"/>
          <w:sz w:val="16"/>
          <w:szCs w:val="16"/>
          <w:color w:val="auto"/>
        </w:rPr>
        <w:t>Our centralized procurement group maintains relationships with numerous suppliers of ingredients and packaging. By consolidating the purchasing function for our production facilities, we believe we are able to procure more competitive arrangements with our suppliers, thereby enhancing our ability to compete as an efficient producer of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-385445</wp:posOffset>
            </wp:positionV>
            <wp:extent cx="995045" cy="909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5045" cy="909320"/>
                    </a:xfrm>
                    <a:prstGeom prst="rect">
                      <a:avLst/>
                    </a:prstGeom>
                    <a:noFill/>
                  </pic:spPr>
                </pic:pic>
              </a:graphicData>
            </a:graphic>
          </wp:anchor>
        </w:drawing>
      </w:r>
    </w:p>
    <w:p>
      <w:pPr>
        <w:spacing w:after="0" w:line="142" w:lineRule="exact"/>
        <w:rPr>
          <w:sz w:val="20"/>
          <w:szCs w:val="20"/>
          <w:color w:val="auto"/>
        </w:rPr>
      </w:pPr>
    </w:p>
    <w:p>
      <w:pPr>
        <w:jc w:val="both"/>
        <w:ind w:left="1680"/>
        <w:spacing w:after="0" w:line="270" w:lineRule="auto"/>
        <w:rPr>
          <w:sz w:val="20"/>
          <w:szCs w:val="20"/>
          <w:color w:val="auto"/>
        </w:rPr>
      </w:pPr>
      <w:r>
        <w:rPr>
          <w:rFonts w:ascii="Arial" w:cs="Arial" w:eastAsia="Arial" w:hAnsi="Arial"/>
          <w:sz w:val="16"/>
          <w:szCs w:val="16"/>
          <w:color w:val="auto"/>
        </w:rPr>
        <w:t>The products we produce and sell are made from various materials including aluminum cans, glass and plastic bottles, water, carbon dioxide, juice and flavor concentrates, sweeteners, cartons and closures. We craft a substantial portion of our flavor essences and concentrates while purchasing the remaining raw materials from multiple suppliers.</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Substantially all of the materials and ingredients we purchase are presently available from several suppliers, although strikes, weather conditions, utility shortages, governmental control or regulations, national emergencies, quality, price or supply fluctuations or other events outside our control could adversely affect the supply of specific materials. A significant portion of our raw material purchases, including aluminum cans, plastic bottles, high fructose corn syrup, corrugated packaging and juice concentrates, are derived from commodities. Therefore, pricing and availability tend to fluctuate based upon worldwide commodity market conditions. In certain cases, we may elect to enter into multi-year agreements for the supply of these materials with one or more suppliers, the terms of which may include variable or fixed pricing, minimum purchase quantities and/or the requirement to purchase all supplies for specified locations. Additionally, we use derivative financial instruments to partially mitigate our exposure to changes in certain raw material costs.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operating results are affected by numerous factors, including fluctuations in costs of raw materials, holiday and seasonal programming and weather conditions. While yesteryear witnessed more seasonality, higher sales are realized during the summer when outdoor activities are more prevalent.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2" w:lineRule="exact"/>
        <w:rPr>
          <w:sz w:val="20"/>
          <w:szCs w:val="20"/>
          <w:color w:val="auto"/>
        </w:rPr>
      </w:pPr>
    </w:p>
    <w:p>
      <w:pPr>
        <w:jc w:val="both"/>
        <w:ind w:left="3160"/>
        <w:spacing w:after="0" w:line="279" w:lineRule="auto"/>
        <w:rPr>
          <w:sz w:val="20"/>
          <w:szCs w:val="20"/>
          <w:color w:val="auto"/>
        </w:rPr>
      </w:pPr>
      <w:r>
        <w:rPr>
          <w:rFonts w:ascii="Arial" w:cs="Arial" w:eastAsia="Arial" w:hAnsi="Arial"/>
          <w:sz w:val="15"/>
          <w:szCs w:val="15"/>
          <w:color w:val="auto"/>
        </w:rPr>
        <w:t>While LaCroix® Sparkling Water achieved double-digit growth in all of the 52 Nielsen metropolitan statistical areas in fiscal 2018 and is the significant brand of choice as the number one sparkling water in 42 of those markets, the beverage industry is highly competitive and our competitive position may vary by market area. Our products compete with many varieties of liquid refreshment, including water products, soft drinks, juices, fruit drinks, energy drinks and sports drinks, as well as powdered drinks, coffees, teas, dairy-based drinks, functional beverages and various other nonalcoholic beverages. We compete with bottlers and distributors of national, regional and private label products. Several competitors, including those that dominate the beverage industry, such as Nestlé S.A., PepsiCo and The Coca-Cola Company, have greater financial resources than we have and aggressive promotion of their products may adversely affect sales of our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-1010285</wp:posOffset>
            </wp:positionV>
            <wp:extent cx="1935480" cy="1204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5480" cy="1204595"/>
                    </a:xfrm>
                    <a:prstGeom prst="rect">
                      <a:avLst/>
                    </a:prstGeom>
                    <a:noFill/>
                  </pic:spPr>
                </pic:pic>
              </a:graphicData>
            </a:graphic>
          </wp:anchor>
        </w:drawing>
      </w:r>
    </w:p>
    <w:p>
      <w:pPr>
        <w:spacing w:after="0" w:line="138" w:lineRule="exact"/>
        <w:rPr>
          <w:sz w:val="20"/>
          <w:szCs w:val="20"/>
          <w:color w:val="auto"/>
        </w:rPr>
      </w:pPr>
    </w:p>
    <w:p>
      <w:pPr>
        <w:jc w:val="both"/>
        <w:ind w:firstLine="3170"/>
        <w:spacing w:after="0" w:line="265" w:lineRule="auto"/>
        <w:rPr>
          <w:sz w:val="20"/>
          <w:szCs w:val="20"/>
          <w:color w:val="auto"/>
        </w:rPr>
      </w:pPr>
      <w:r>
        <w:rPr>
          <w:rFonts w:ascii="Arial" w:cs="Arial" w:eastAsia="Arial" w:hAnsi="Arial"/>
          <w:sz w:val="16"/>
          <w:szCs w:val="16"/>
          <w:color w:val="auto"/>
        </w:rPr>
        <w:t>Principal methods of competition in the beverage industry are price and promotional activity, advertising and marketing programs, point-of-sale merchandising, retail space management, customer service, product differentiation, packaging innovations and distribution methods. We believe our Company differentiates itself through novel methods of innovation, key brand recognition, focused social media, innovative flavor variety, attractive packaging, efficient distribution methods, and, for some product lines, value pricing.</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-105410</wp:posOffset>
            </wp:positionV>
            <wp:extent cx="1725295" cy="909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5295" cy="909320"/>
                    </a:xfrm>
                    <a:prstGeom prst="rect">
                      <a:avLst/>
                    </a:prstGeom>
                    <a:noFill/>
                  </pic:spPr>
                </pic:pic>
              </a:graphicData>
            </a:graphic>
          </wp:anchor>
        </w:drawing>
      </w:r>
    </w:p>
    <w:p>
      <w:pPr>
        <w:spacing w:after="0" w:line="192" w:lineRule="exact"/>
        <w:rPr>
          <w:sz w:val="20"/>
          <w:szCs w:val="20"/>
          <w:color w:val="auto"/>
        </w:rPr>
      </w:pPr>
    </w:p>
    <w:p>
      <w:pPr>
        <w:ind w:right="2820"/>
        <w:spacing w:after="0" w:line="285" w:lineRule="auto"/>
        <w:rPr>
          <w:sz w:val="20"/>
          <w:szCs w:val="20"/>
          <w:color w:val="auto"/>
        </w:rPr>
      </w:pPr>
      <w:r>
        <w:rPr>
          <w:rFonts w:ascii="Arial" w:cs="Arial" w:eastAsia="Arial" w:hAnsi="Arial"/>
          <w:sz w:val="16"/>
          <w:szCs w:val="16"/>
          <w:color w:val="auto"/>
        </w:rPr>
        <w:t>We own numerous trademarks for our brands that are significant to our business. We intend to continue to maintain all registrations of our significant trademarks and use the trademarks in the operation of our businesses.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production, distribution and sale of our products in the United States are subject to the Federal Food, Drug and Cosmetic Act; the Dietary Supplement Health and Education Act of 1994; the Occupational Safety and Health Act; the Lanham Act; various environmental statutes; and various other federal, state and local statutes regulating the production, transportation, sale, safety, advertising, labeling and ingredients of such products. We believe that we are in compliance, in all material respects, with such existing legislation.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Certain states and localities require a deposit or tax on the sale of certain beverages. These requirements vary by each jurisdiction. Similar legislation has been proposed in certain other states and localities, as well as by Congress. We are unable to predict whether such legislation will be enacted or what impact its enactment would have on our business, financial condition or results of operations.</w:t>
      </w:r>
    </w:p>
    <w:p>
      <w:pPr>
        <w:spacing w:after="0" w:line="35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All of our facilities in the United States are subject to federal, state and local environmental laws and regulations. Compliance with these provisions has not had any material adverse effect on our financial or competitive position. We believe our current practices and procedures for the control and disposition of toxic or hazardous substances comply in all material respects with applicable law.</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April 28, 2018, we employed approximately 1,500 people, of which 370 are covered by collective bargaining agreements. We believe we maintain good relations with our employees.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Annual Reports on Form 10-K, Quarterly Reports on Form 10-Q, Current Reports on Form 8-K, proxy statements and amendments to those reports are available free of charge on our website at </w:t>
      </w:r>
      <w:r>
        <w:rPr>
          <w:rFonts w:ascii="Arial" w:cs="Arial" w:eastAsia="Arial" w:hAnsi="Arial"/>
          <w:sz w:val="16"/>
          <w:szCs w:val="16"/>
          <w:u w:val="single" w:color="auto"/>
          <w:color w:val="auto"/>
        </w:rPr>
        <w:t>www.nationalbeverage.com</w:t>
      </w:r>
      <w:r>
        <w:rPr>
          <w:rFonts w:ascii="Arial" w:cs="Arial" w:eastAsia="Arial" w:hAnsi="Arial"/>
          <w:sz w:val="16"/>
          <w:szCs w:val="16"/>
          <w:color w:val="auto"/>
        </w:rPr>
        <w:t xml:space="preserve"> as soon as reasonably practicable after such reports are electronically filed with the Securities and Exchange Commission. In addition, our Code of Ethics is available on our website. The information on the Company’s website is not part of this Annual Report on Form 10-K or any other report that we file with, or furnish to, the Securities and Exchange Commission.</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addition to other information in this Annual Report on Form 10-K, the following risk factors should be considered carefully in evaluating the Company’s business. Our business, financial condition and results of operations could be materially and adversely affected by any of these risks. Additional risks and uncertainties, including risks and uncertainties not presently known to the Company, or that the Company currently deems immaterial, may also impair our business and results of operations.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 xml:space="preserve">Brand image and consumer preferences. </w:t>
      </w:r>
      <w:r>
        <w:rPr>
          <w:rFonts w:ascii="Arial" w:cs="Arial" w:eastAsia="Arial" w:hAnsi="Arial"/>
          <w:sz w:val="16"/>
          <w:szCs w:val="16"/>
          <w:color w:val="auto"/>
        </w:rPr>
        <w:t>Our beverage portfolio is comprised of a number of unique brands with time-tested reputations and consumer loyalty that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built over time. Our investments in social media and marketing as well as our strong commitment to product quality are intended to have a favorable impact on brand image and consumer preferences. Unfavorable publicity, or allegations of quality issues, even if false or unfounded, could tarnish our reputation and brand image and could cause consumers to choose other products. In addition, if we do not adequately anticipate and react to changing demographics, consumer trends, health concerns and product preferences, our financial results could be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Competition. </w:t>
      </w:r>
      <w:r>
        <w:rPr>
          <w:rFonts w:ascii="Arial" w:cs="Arial" w:eastAsia="Arial" w:hAnsi="Arial"/>
          <w:sz w:val="15"/>
          <w:szCs w:val="15"/>
          <w:color w:val="auto"/>
        </w:rPr>
        <w:t>The beverage industry is extremely competitive. Our products compete with a broad range of beverage products, most of which are manufactured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distributed by companies with substantially greater financial, marketing and distribution resources. In order to generate future revenues and profits, we must continue to sell products that appeal to our customers and consumers. Discounting and other actions by our competitors may make it more difficult to sustain revenues and profits.</w:t>
      </w:r>
    </w:p>
    <w:p>
      <w:pPr>
        <w:spacing w:after="0" w:line="1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Customer relationships. </w:t>
      </w:r>
      <w:r>
        <w:rPr>
          <w:rFonts w:ascii="Arial" w:cs="Arial" w:eastAsia="Arial" w:hAnsi="Arial"/>
          <w:sz w:val="15"/>
          <w:szCs w:val="15"/>
          <w:color w:val="auto"/>
        </w:rPr>
        <w:t>Our retail customer base has been consolidating over the last several years resulting in fewer customers with increased purchasing power. This</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increased purchasing power can limit our ability to increase pricing for our products with certain of our customers. Additionally, e-commerce transactions and value stores are experiencing rapid growth. Our inability to adapt to customer requirements could lead to a loss of business and adversely affect our financial results.</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color w:val="auto"/>
        </w:rPr>
        <w:t xml:space="preserve">Raw materials and energy. </w:t>
      </w:r>
      <w:r>
        <w:rPr>
          <w:rFonts w:ascii="Arial" w:cs="Arial" w:eastAsia="Arial" w:hAnsi="Arial"/>
          <w:sz w:val="15"/>
          <w:szCs w:val="15"/>
          <w:color w:val="auto"/>
        </w:rPr>
        <w:t>The production of our products is dependent on certain raw materials, including aluminum, resin, corn, linerboard, water and fruit juice. In</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 the production and distribution of our products is dependent on energy sources, including natural gas, fuel and electricity. These items are subject to price volatility caused by numerous factors. Commodity price increases ultimately result in a corresponding increase in the cost of raw materials and energy. We may be limited in our ability to pass these increases on to our customers or may incur a loss in sales volume to the extent price increases are taken. In addition, strikes, weather conditions, governmental controls, tariffs, national emergencies, natural disasters, supply shortages or other events could affect our continued supply and cost of raw materials and energy. If raw materials or energy costs increase, or the availability is limited, our financial results could be adversely affected.</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Governmental regulation. </w:t>
      </w:r>
      <w:r>
        <w:rPr>
          <w:rFonts w:ascii="Arial" w:cs="Arial" w:eastAsia="Arial" w:hAnsi="Arial"/>
          <w:sz w:val="16"/>
          <w:szCs w:val="16"/>
          <w:color w:val="auto"/>
        </w:rPr>
        <w:t>Our business and properties are subject to various federal, state and local laws and regulations, including those governing the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packaging, quality, labeling and distribution of beverage products. In addition, various governmental agencies have enacted or are considering additional taxes on soft drinks and other sweetened beverages. Changes in existing laws or regulations could require material expenses and negatively affect our financial results through lower sales or higher costs.</w:t>
      </w:r>
    </w:p>
    <w:p>
      <w:pPr>
        <w:spacing w:after="0" w:line="16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Sustained increases in the cost of employee benefits. </w:t>
      </w:r>
      <w:r>
        <w:rPr>
          <w:rFonts w:ascii="Arial" w:cs="Arial" w:eastAsia="Arial" w:hAnsi="Arial"/>
          <w:sz w:val="15"/>
          <w:szCs w:val="15"/>
          <w:color w:val="auto"/>
        </w:rPr>
        <w:t>Our profitability is affected by the cost of medical and retirement benefits provided to employees, including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covered under collective bargaining agreements and multi-employer pension plans. In recent years, we have experienced increases in these costs as a result of certain factors beyond our control. Although we seek to limit these cost increases, continued upward pressure in these costs could reduce our profitability.</w:t>
      </w:r>
    </w:p>
    <w:p>
      <w:pPr>
        <w:spacing w:after="0" w:line="1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Unfavorable weather conditions. </w:t>
      </w:r>
      <w:r>
        <w:rPr>
          <w:rFonts w:ascii="Arial" w:cs="Arial" w:eastAsia="Arial" w:hAnsi="Arial"/>
          <w:sz w:val="15"/>
          <w:szCs w:val="15"/>
          <w:color w:val="auto"/>
        </w:rPr>
        <w:t>Unfavorable weather conditions could have an adverse impact on our revenue and profitability. Unusually cold or rainy weather may</w:t>
      </w:r>
      <w:r>
        <w:rPr>
          <w:rFonts w:ascii="Arial" w:cs="Arial" w:eastAsia="Arial" w:hAnsi="Arial"/>
          <w:sz w:val="15"/>
          <w:szCs w:val="15"/>
          <w:b w:val="1"/>
          <w:bCs w:val="1"/>
          <w:color w:val="auto"/>
        </w:rPr>
        <w:t xml:space="preserve"> </w:t>
      </w:r>
      <w:r>
        <w:rPr>
          <w:rFonts w:ascii="Arial" w:cs="Arial" w:eastAsia="Arial" w:hAnsi="Arial"/>
          <w:sz w:val="15"/>
          <w:szCs w:val="15"/>
          <w:color w:val="auto"/>
        </w:rPr>
        <w:t>temporarily reduce demand for our products and contribute to lower sales, which could adversely affect our profitability for such periods. Prolonged drought conditions in the geographic regions in which we do business could lead to restrictions on the use of water, which could adversely affect our ability to produce and distribute products.</w:t>
      </w:r>
    </w:p>
    <w:p>
      <w:pPr>
        <w:spacing w:after="0" w:line="1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Dependence on key personnel. </w:t>
      </w:r>
      <w:r>
        <w:rPr>
          <w:rFonts w:ascii="Arial" w:cs="Arial" w:eastAsia="Arial" w:hAnsi="Arial"/>
          <w:sz w:val="15"/>
          <w:szCs w:val="15"/>
          <w:color w:val="auto"/>
        </w:rPr>
        <w:t>Our performance significantly depends upon the continued contributions of our executive officers and key employees, both individually and</w:t>
      </w:r>
      <w:r>
        <w:rPr>
          <w:rFonts w:ascii="Arial" w:cs="Arial" w:eastAsia="Arial" w:hAnsi="Arial"/>
          <w:sz w:val="15"/>
          <w:szCs w:val="15"/>
          <w:b w:val="1"/>
          <w:bCs w:val="1"/>
          <w:color w:val="auto"/>
        </w:rPr>
        <w:t xml:space="preserve"> </w:t>
      </w:r>
      <w:r>
        <w:rPr>
          <w:rFonts w:ascii="Arial" w:cs="Arial" w:eastAsia="Arial" w:hAnsi="Arial"/>
          <w:sz w:val="15"/>
          <w:szCs w:val="15"/>
          <w:color w:val="auto"/>
        </w:rPr>
        <w:t>as a group, and our ability to retain and motivate them. Our officers and key personnel have many years of experience with us and in our industry and it may be difficult to replace them. If we lose key personnel or are unable to recruit qualified personnel, our operations and ability to manage our business may be adversely affected.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principal properties include twelve production facilities located in ten states, which aggregate approximately two million square feet. We own ten production facilities in the following states: California (2), Georgia, Kansas, Michigan (2), Ohio, Texas, Utah and Washington. Two production facilities, located in Maryland and Florida, are leased subject to agreements that expire through 2020. We believe our facilities are generally in good condition and sufficient to meet our present needs.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production of beverages is capital intensive but is not characterized by rapid technological change. The technological advances that have occurred have generally been of an incremental cost-saving nature, such as the industry’s conversion to lighter weight containers or improved blending processes that enhance ingredient yields. Although we are continually investing in more efficient equipment, we are not aware of any anticipated industry-wide changes in technology that would adversely impact our current physical production capacity or cost of production.</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own and lease trucks, vans and automobiles used in the sale, delivery and distribution of our products. In addition, we lease warehouse and office space, transportation equipment, office equipment and certain manufacturing equipment.</w:t>
      </w:r>
    </w:p>
    <w:p>
      <w:pPr>
        <w:spacing w:after="0" w:line="34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From time to time, we are a party to various litigation matters and claims arising in the ordinary course of business. We do not expect the ultimate disposition of such matters to have a material adverse effect on our consolidated financial position or results of operations.</w:t>
      </w:r>
    </w:p>
    <w:p>
      <w:pPr>
        <w:spacing w:after="0" w:line="34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08" w:lineRule="exact"/>
        <w:rPr>
          <w:sz w:val="20"/>
          <w:szCs w:val="20"/>
          <w:color w:val="auto"/>
        </w:rPr>
      </w:pPr>
    </w:p>
    <w:p>
      <w:pPr>
        <w:ind w:left="880" w:right="640" w:hanging="880"/>
        <w:spacing w:after="0" w:line="291" w:lineRule="auto"/>
        <w:tabs>
          <w:tab w:leader="none" w:pos="8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4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common stock of National Beverage Corp., par value $.01 per share, (“Common Stock”) is listed on The NASDAQ Global Select Market under the symbol “FIZZ”. The following table shows the range of high and low prices per share of the Common Stock for the fiscal quarters indicated:</w:t>
      </w:r>
    </w:p>
    <w:p>
      <w:pPr>
        <w:spacing w:after="0" w:line="346"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Fiscal Year Ended</w:t>
      </w:r>
    </w:p>
    <w:p>
      <w:pPr>
        <w:sectPr>
          <w:pgSz w:w="11900" w:h="16838" w:orient="portrait"/>
          <w:cols w:equalWidth="0" w:num="1">
            <w:col w:w="11420"/>
          </w:cols>
          <w:pgMar w:left="240" w:top="120" w:right="239" w:bottom="1440" w:gutter="0" w:footer="0" w:header="0"/>
        </w:sectPr>
      </w:pPr>
    </w:p>
    <w:p>
      <w:pPr>
        <w:spacing w:after="0" w:line="24" w:lineRule="exact"/>
        <w:rPr>
          <w:sz w:val="20"/>
          <w:szCs w:val="20"/>
          <w:color w:val="auto"/>
        </w:rPr>
      </w:pPr>
    </w:p>
    <w:p>
      <w:pPr>
        <w:jc w:val="center"/>
        <w:ind w:left="5400"/>
        <w:spacing w:after="0"/>
        <w:rPr>
          <w:sz w:val="20"/>
          <w:szCs w:val="20"/>
          <w:color w:val="auto"/>
        </w:rPr>
      </w:pPr>
      <w:r>
        <w:rPr>
          <w:rFonts w:ascii="Arial" w:cs="Arial" w:eastAsia="Arial" w:hAnsi="Arial"/>
          <w:sz w:val="16"/>
          <w:szCs w:val="16"/>
          <w:color w:val="auto"/>
        </w:rPr>
        <w:t>April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3379470</wp:posOffset>
            </wp:positionH>
            <wp:positionV relativeFrom="paragraph">
              <wp:posOffset>-116205</wp:posOffset>
            </wp:positionV>
            <wp:extent cx="34512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51225" cy="7620"/>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15240</wp:posOffset>
            </wp:positionV>
            <wp:extent cx="16630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065" cy="7620"/>
                    </a:xfrm>
                    <a:prstGeom prst="rect">
                      <a:avLst/>
                    </a:prstGeom>
                    <a:noFill/>
                  </pic:spPr>
                </pic:pic>
              </a:graphicData>
            </a:graphic>
          </wp:anchor>
        </w:drawing>
      </w:r>
    </w:p>
    <w:p>
      <w:pPr>
        <w:spacing w:after="0" w:line="16" w:lineRule="exact"/>
        <w:rPr>
          <w:sz w:val="20"/>
          <w:szCs w:val="20"/>
          <w:color w:val="auto"/>
        </w:rPr>
      </w:pPr>
    </w:p>
    <w:p>
      <w:pPr>
        <w:ind w:left="5760"/>
        <w:spacing w:after="0"/>
        <w:tabs>
          <w:tab w:leader="none" w:pos="7180" w:val="left"/>
        </w:tabs>
        <w:rPr>
          <w:sz w:val="20"/>
          <w:szCs w:val="20"/>
          <w:color w:val="auto"/>
        </w:rPr>
      </w:pPr>
      <w:r>
        <w:rPr>
          <w:rFonts w:ascii="Arial" w:cs="Arial" w:eastAsia="Arial" w:hAnsi="Arial"/>
          <w:sz w:val="16"/>
          <w:szCs w:val="16"/>
          <w:color w:val="auto"/>
        </w:rPr>
        <w:t>High</w:t>
      </w:r>
      <w:r>
        <w:rPr>
          <w:sz w:val="20"/>
          <w:szCs w:val="20"/>
          <w:color w:val="auto"/>
        </w:rPr>
        <w:tab/>
      </w:r>
      <w:r>
        <w:rPr>
          <w:rFonts w:ascii="Arial" w:cs="Arial" w:eastAsia="Arial" w:hAnsi="Arial"/>
          <w:sz w:val="16"/>
          <w:szCs w:val="16"/>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3379470</wp:posOffset>
            </wp:positionH>
            <wp:positionV relativeFrom="paragraph">
              <wp:posOffset>15240</wp:posOffset>
            </wp:positionV>
            <wp:extent cx="16630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0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15240</wp:posOffset>
            </wp:positionV>
            <wp:extent cx="16478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7825" cy="7620"/>
                    </a:xfrm>
                    <a:prstGeom prst="rect">
                      <a:avLst/>
                    </a:prstGeom>
                    <a:noFill/>
                  </pic:spPr>
                </pic:pic>
              </a:graphicData>
            </a:graphic>
          </wp:anchor>
        </w:drawing>
      </w:r>
    </w:p>
    <w:p>
      <w:pPr>
        <w:spacing w:after="0" w:line="16"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High</w:t>
      </w:r>
      <w:r>
        <w:rPr>
          <w:sz w:val="20"/>
          <w:szCs w:val="20"/>
          <w:color w:val="auto"/>
        </w:rPr>
        <w:tab/>
      </w:r>
      <w:r>
        <w:rPr>
          <w:rFonts w:ascii="Arial" w:cs="Arial" w:eastAsia="Arial" w:hAnsi="Arial"/>
          <w:sz w:val="16"/>
          <w:szCs w:val="16"/>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15240</wp:posOffset>
            </wp:positionV>
            <wp:extent cx="16478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78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120"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258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110.64</w:t>
            </w:r>
          </w:p>
        </w:tc>
        <w:tc>
          <w:tcPr>
            <w:tcW w:w="56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81.65</w:t>
            </w:r>
          </w:p>
        </w:tc>
        <w:tc>
          <w:tcPr>
            <w:tcW w:w="56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64.73</w:t>
            </w:r>
          </w:p>
        </w:tc>
        <w:tc>
          <w:tcPr>
            <w:tcW w:w="54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46.50</w:t>
            </w:r>
          </w:p>
        </w:tc>
      </w:tr>
      <w:tr>
        <w:trPr>
          <w:trHeight w:val="196"/>
        </w:trPr>
        <w:tc>
          <w:tcPr>
            <w:tcW w:w="3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2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129.82</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91.50</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58.30</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39.14</w:t>
            </w:r>
          </w:p>
        </w:tc>
      </w:tr>
      <w:tr>
        <w:trPr>
          <w:trHeight w:val="196"/>
        </w:trPr>
        <w:tc>
          <w:tcPr>
            <w:tcW w:w="3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2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113.70</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93.01</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54.65</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44.21</w:t>
            </w:r>
          </w:p>
        </w:tc>
      </w:tr>
      <w:tr>
        <w:trPr>
          <w:trHeight w:val="196"/>
        </w:trPr>
        <w:tc>
          <w:tcPr>
            <w:tcW w:w="3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2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114.77</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83.78</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92.85</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48.81</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At June 6, 2018 there were approximately 28,000 holders of our Common Stock, the majority of which hold their shares in the names of various dealers and/or clearing agencies.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Company paid special cash dividends on Common Stock of $69.9 million ($1.50 per share) on both August 4, 2017 (Fiscal 2018) and January 27, 2017 (Fiscal 2017).</w:t>
      </w:r>
    </w:p>
    <w:p>
      <w:pPr>
        <w:spacing w:after="0" w:line="219"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The Company is authorized under its stock buyback program to repurchase 1.6 million shares of Common Stock. As of April 28, 2018, 502,060 shares were purchased under the program and 1,097,940 shares were available for purchase. No shares of Common Stock have been repurchased during the last three fiscal years.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14" w:name="page15"/>
    <w:bookmarkEnd w:id="14"/>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Performance Graph</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following graph shows a comparison of the five-year cumulative returns of an investment of $100 cash on April 27, 2013, assuming reinvestment of dividends, in</w:t>
      </w:r>
    </w:p>
    <w:p>
      <w:pPr>
        <w:spacing w:after="0" w:line="35" w:lineRule="exact"/>
        <w:rPr>
          <w:sz w:val="20"/>
          <w:szCs w:val="20"/>
          <w:color w:val="auto"/>
        </w:rPr>
      </w:pPr>
    </w:p>
    <w:p>
      <w:pPr>
        <w:jc w:val="both"/>
        <w:ind w:left="2" w:hanging="2"/>
        <w:spacing w:after="0" w:line="263" w:lineRule="auto"/>
        <w:tabs>
          <w:tab w:leader="none" w:pos="214"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Common Stock, (ii) the NASDAQ Composite Index, (iii) the S&amp;P 500 Index, and (iv) a Company-constructed peer group consisting of Coca-Cola Bottling Company Consolidated and Cott Corporation. Based on the cumulative total return below, an investment in our Common Stock on April 27, 2013 provided a compounded annual return of approximately 45% as of April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316470" cy="4360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6470" cy="436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4/27/2013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5/3/2014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5/2/2015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4/30/2016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4/29/2017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4/28/2018</w:t>
            </w:r>
          </w:p>
        </w:tc>
        <w:tc>
          <w:tcPr>
            <w:tcW w:w="120" w:type="dxa"/>
            <w:vAlign w:val="bottom"/>
          </w:tcPr>
          <w:p>
            <w:pPr>
              <w:spacing w:after="0"/>
              <w:rPr>
                <w:sz w:val="18"/>
                <w:szCs w:val="18"/>
                <w:color w:val="auto"/>
              </w:rPr>
            </w:pP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National Beverage Corp.</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131.85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153.88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320.80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625.93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644.46</w:t>
            </w: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NASDAQ Composite - Total Return</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156.45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151.07</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193.65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230.40</w:t>
            </w: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S&amp;P 500 - Total Return</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138.89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139.05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163.96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187.24</w:t>
            </w: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Peer Group</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121.03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178.03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207.92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197.64</w:t>
            </w:r>
          </w:p>
        </w:tc>
      </w:tr>
      <w:tr>
        <w:trPr>
          <w:trHeight w:val="391"/>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3"/>
        </w:trPr>
        <w:tc>
          <w:tcPr>
            <w:tcW w:w="3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2"/>
          </w:cols>
          <w:pgMar w:left="238" w:top="120" w:right="219" w:bottom="1440" w:gutter="0" w:footer="0" w:header="0"/>
        </w:sectPr>
      </w:pPr>
    </w:p>
    <w:bookmarkStart w:id="15" w:name="page16"/>
    <w:bookmarkEnd w:id="15"/>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ind w:left="2"/>
        <w:spacing w:after="0"/>
        <w:tabs>
          <w:tab w:leader="none" w:pos="782" w:val="left"/>
        </w:tabs>
        <w:rPr>
          <w:sz w:val="20"/>
          <w:szCs w:val="20"/>
          <w:color w:val="auto"/>
        </w:rPr>
      </w:pPr>
      <w:r>
        <w:rPr>
          <w:rFonts w:ascii="Arial" w:cs="Arial" w:eastAsia="Arial" w:hAnsi="Arial"/>
          <w:sz w:val="16"/>
          <w:szCs w:val="16"/>
          <w:b w:val="1"/>
          <w:bCs w:val="1"/>
          <w:color w:val="auto"/>
        </w:rPr>
        <w:t>ITEM 6.</w:t>
        <w:tab/>
        <w:t>SELECTED FINANCIAL DATA</w:t>
      </w:r>
    </w:p>
    <w:p>
      <w:pPr>
        <w:spacing w:after="0" w:line="212" w:lineRule="exact"/>
        <w:rPr>
          <w:sz w:val="20"/>
          <w:szCs w:val="20"/>
          <w:color w:val="auto"/>
        </w:rPr>
      </w:pPr>
    </w:p>
    <w:p>
      <w:pPr>
        <w:ind w:left="2" w:right="200"/>
        <w:spacing w:after="0" w:line="361" w:lineRule="auto"/>
        <w:rPr>
          <w:sz w:val="20"/>
          <w:szCs w:val="20"/>
          <w:color w:val="auto"/>
        </w:rPr>
      </w:pPr>
      <w:r>
        <w:rPr>
          <w:rFonts w:ascii="Arial" w:cs="Arial" w:eastAsia="Arial" w:hAnsi="Arial"/>
          <w:sz w:val="14"/>
          <w:szCs w:val="14"/>
          <w:color w:val="auto"/>
        </w:rPr>
        <w:t>The following selected financial data should be read in conjunction with "Item 7. Management's Discussion and Analysis of Financial Condition and Results of Operations" and consolidated financial statements and notes thereto contained in "Item 8. Financial Statements and Supplementary Data" of this Annual Report on Form 10-K.</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thousands, except per share and footnote amounts)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color w:val="auto"/>
                <w:w w:val="93"/>
              </w:rPr>
              <w:t>Fiscal Year Ended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7"/>
        </w:trPr>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440"/>
              <w:spacing w:after="0" w:line="177" w:lineRule="exact"/>
              <w:rPr>
                <w:sz w:val="20"/>
                <w:szCs w:val="20"/>
                <w:color w:val="auto"/>
              </w:rPr>
            </w:pPr>
            <w:r>
              <w:rPr>
                <w:rFonts w:ascii="Arial" w:cs="Arial" w:eastAsia="Arial" w:hAnsi="Arial"/>
                <w:sz w:val="16"/>
                <w:szCs w:val="16"/>
                <w:color w:val="auto"/>
              </w:rPr>
              <w:t>April 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7" w:lineRule="exact"/>
              <w:rPr>
                <w:sz w:val="20"/>
                <w:szCs w:val="20"/>
                <w:color w:val="auto"/>
              </w:rPr>
            </w:pPr>
            <w:r>
              <w:rPr>
                <w:rFonts w:ascii="Arial" w:cs="Arial" w:eastAsia="Arial" w:hAnsi="Arial"/>
                <w:sz w:val="16"/>
                <w:szCs w:val="16"/>
                <w:color w:val="auto"/>
                <w:w w:val="98"/>
              </w:rPr>
              <w:t>April 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500"/>
              <w:spacing w:after="0" w:line="177" w:lineRule="exact"/>
              <w:rPr>
                <w:sz w:val="20"/>
                <w:szCs w:val="20"/>
                <w:color w:val="auto"/>
              </w:rPr>
            </w:pPr>
            <w:r>
              <w:rPr>
                <w:rFonts w:ascii="Arial" w:cs="Arial" w:eastAsia="Arial" w:hAnsi="Arial"/>
                <w:sz w:val="16"/>
                <w:szCs w:val="16"/>
                <w:color w:val="auto"/>
              </w:rPr>
              <w:t>April 30,</w:t>
            </w:r>
          </w:p>
        </w:tc>
        <w:tc>
          <w:tcPr>
            <w:tcW w:w="220" w:type="dxa"/>
            <w:vAlign w:val="bottom"/>
          </w:tcPr>
          <w:p>
            <w:pPr>
              <w:spacing w:after="0"/>
              <w:rPr>
                <w:sz w:val="15"/>
                <w:szCs w:val="15"/>
                <w:color w:val="auto"/>
              </w:rPr>
            </w:pPr>
          </w:p>
        </w:tc>
        <w:tc>
          <w:tcPr>
            <w:tcW w:w="1140" w:type="dxa"/>
            <w:vAlign w:val="bottom"/>
            <w:gridSpan w:val="2"/>
          </w:tcPr>
          <w:p>
            <w:pPr>
              <w:jc w:val="right"/>
              <w:ind w:right="560"/>
              <w:spacing w:after="0" w:line="177" w:lineRule="exact"/>
              <w:rPr>
                <w:sz w:val="20"/>
                <w:szCs w:val="20"/>
                <w:color w:val="auto"/>
              </w:rPr>
            </w:pPr>
            <w:r>
              <w:rPr>
                <w:rFonts w:ascii="Arial" w:cs="Arial" w:eastAsia="Arial" w:hAnsi="Arial"/>
                <w:sz w:val="16"/>
                <w:szCs w:val="16"/>
                <w:color w:val="auto"/>
              </w:rPr>
              <w:t>May 2,</w:t>
            </w:r>
          </w:p>
        </w:tc>
        <w:tc>
          <w:tcPr>
            <w:tcW w:w="200" w:type="dxa"/>
            <w:vAlign w:val="bottom"/>
          </w:tcPr>
          <w:p>
            <w:pPr>
              <w:spacing w:after="0"/>
              <w:rPr>
                <w:sz w:val="15"/>
                <w:szCs w:val="15"/>
                <w:color w:val="auto"/>
              </w:rPr>
            </w:pPr>
          </w:p>
        </w:tc>
        <w:tc>
          <w:tcPr>
            <w:tcW w:w="940" w:type="dxa"/>
            <w:vAlign w:val="bottom"/>
          </w:tcPr>
          <w:p>
            <w:pPr>
              <w:jc w:val="right"/>
              <w:ind w:right="258"/>
              <w:spacing w:after="0" w:line="177" w:lineRule="exact"/>
              <w:rPr>
                <w:sz w:val="20"/>
                <w:szCs w:val="20"/>
                <w:color w:val="auto"/>
              </w:rPr>
            </w:pPr>
            <w:r>
              <w:rPr>
                <w:rFonts w:ascii="Arial" w:cs="Arial" w:eastAsia="Arial" w:hAnsi="Arial"/>
                <w:sz w:val="16"/>
                <w:szCs w:val="16"/>
                <w:color w:val="auto"/>
              </w:rPr>
              <w:t>May 3,</w:t>
            </w:r>
          </w:p>
        </w:tc>
        <w:tc>
          <w:tcPr>
            <w:tcW w:w="120" w:type="dxa"/>
            <w:vAlign w:val="bottom"/>
          </w:tcPr>
          <w:p>
            <w:pPr>
              <w:spacing w:after="0"/>
              <w:rPr>
                <w:sz w:val="15"/>
                <w:szCs w:val="15"/>
                <w:color w:val="auto"/>
              </w:rPr>
            </w:pPr>
          </w:p>
        </w:tc>
      </w:tr>
      <w:tr>
        <w:trPr>
          <w:trHeight w:val="208"/>
        </w:trPr>
        <w:tc>
          <w:tcPr>
            <w:tcW w:w="3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2014(4)</w:t>
            </w:r>
          </w:p>
        </w:tc>
        <w:tc>
          <w:tcPr>
            <w:tcW w:w="120" w:type="dxa"/>
            <w:vAlign w:val="bottom"/>
          </w:tcPr>
          <w:p>
            <w:pPr>
              <w:spacing w:after="0"/>
              <w:rPr>
                <w:sz w:val="18"/>
                <w:szCs w:val="18"/>
                <w:color w:val="auto"/>
              </w:rPr>
            </w:pPr>
          </w:p>
        </w:tc>
      </w:tr>
      <w:tr>
        <w:trPr>
          <w:trHeight w:val="189"/>
        </w:trPr>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SUMMARY OF OPERATIONS: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Net sales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975,734</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826,918</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704,785</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645,825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641,135</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584,599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463,348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426,685</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423,480</w:t>
            </w:r>
          </w:p>
        </w:tc>
      </w:tr>
      <w:tr>
        <w:trPr>
          <w:trHeight w:val="20"/>
        </w:trPr>
        <w:tc>
          <w:tcPr>
            <w:tcW w:w="38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Gross profit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391,135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326,077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241,437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219,140</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217,655</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186,947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148,384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145,157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153,220</w:t>
            </w: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660</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 net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666</w:t>
            </w:r>
          </w:p>
        </w:tc>
      </w:tr>
      <w:tr>
        <w:trPr>
          <w:trHeight w:val="20"/>
        </w:trPr>
        <w:tc>
          <w:tcPr>
            <w:tcW w:w="38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205,489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162,825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92,705</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74,713</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63,109</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55,715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31,507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25,402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19,474</w:t>
            </w:r>
          </w:p>
        </w:tc>
      </w:tr>
      <w:tr>
        <w:trPr>
          <w:trHeight w:val="20"/>
        </w:trPr>
        <w:tc>
          <w:tcPr>
            <w:tcW w:w="38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149,774</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107,045</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61,198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49,311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43,635</w:t>
            </w:r>
          </w:p>
        </w:tc>
      </w:tr>
      <w:tr>
        <w:trPr>
          <w:trHeight w:val="20"/>
        </w:trPr>
        <w:tc>
          <w:tcPr>
            <w:tcW w:w="3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3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common share (1)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Diluted earnings per common share (1)</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Closing stock price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22.42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19.21</w:t>
            </w: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Dividends paid on common stock (2)</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3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6"/>
                <w:szCs w:val="16"/>
                <w:b w:val="1"/>
                <w:bCs w:val="1"/>
                <w:color w:val="auto"/>
              </w:rPr>
              <w:t>BALANCE SHEET DATA:</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Cash and equivalents (2)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189,864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136,372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52,456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29,932</w:t>
            </w: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Working capital (2) (3)</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248,297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181,115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143,603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97,130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75,933</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 net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85,807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65,150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61,932</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60,182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59,494</w:t>
            </w: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Total assets (2) (3)</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458,832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353,983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301,044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243,402</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220,156</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30,000</w:t>
            </w: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Deferred income tax liability (3)</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14,502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12,087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10,020</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10,897</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11,188</w:t>
            </w:r>
          </w:p>
        </w:tc>
      </w:tr>
      <w:tr>
        <w:trPr>
          <w:trHeight w:val="196"/>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 (2)</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331,440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245,618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206,152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147,782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106,201</w:t>
            </w:r>
          </w:p>
        </w:tc>
      </w:tr>
      <w:tr>
        <w:trPr>
          <w:trHeight w:val="207"/>
        </w:trPr>
        <w:tc>
          <w:tcPr>
            <w:tcW w:w="3800" w:type="dxa"/>
            <w:vAlign w:val="bottom"/>
          </w:tcPr>
          <w:p>
            <w:pPr>
              <w:spacing w:after="0"/>
              <w:rPr>
                <w:sz w:val="20"/>
                <w:szCs w:val="20"/>
                <w:color w:val="auto"/>
              </w:rPr>
            </w:pPr>
            <w:r>
              <w:rPr>
                <w:rFonts w:ascii="Arial" w:cs="Arial" w:eastAsia="Arial" w:hAnsi="Arial"/>
                <w:sz w:val="16"/>
                <w:szCs w:val="16"/>
                <w:color w:val="auto"/>
              </w:rPr>
              <w:t>Dividends paid on common stock (2)</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69,878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69,850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96" w:lineRule="exact"/>
        <w:rPr>
          <w:sz w:val="20"/>
          <w:szCs w:val="20"/>
          <w:color w:val="auto"/>
        </w:rPr>
      </w:pPr>
    </w:p>
    <w:p>
      <w:pPr>
        <w:ind w:left="302" w:right="200" w:hanging="302"/>
        <w:spacing w:after="0" w:line="262" w:lineRule="auto"/>
        <w:tabs>
          <w:tab w:leader="none" w:pos="302"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Basic earnings per common share is computed by dividing earnings available to common shareholders by the weighted average number of common shares outstanding. Diluted earnings per common share includes the dilutive effect of stock options.</w:t>
      </w:r>
    </w:p>
    <w:p>
      <w:pPr>
        <w:spacing w:after="0" w:line="1" w:lineRule="exact"/>
        <w:rPr>
          <w:rFonts w:ascii="Arial" w:cs="Arial" w:eastAsia="Arial" w:hAnsi="Arial"/>
          <w:sz w:val="16"/>
          <w:szCs w:val="16"/>
          <w:color w:val="auto"/>
        </w:rPr>
      </w:pPr>
    </w:p>
    <w:p>
      <w:pPr>
        <w:ind w:left="302" w:hanging="302"/>
        <w:spacing w:after="0"/>
        <w:tabs>
          <w:tab w:leader="none" w:pos="30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paid special cash dividends on Common Stock of $69.9 million ($1.50 per share) on August 4, 2017 and January 27, 2017.</w:t>
      </w:r>
    </w:p>
    <w:p>
      <w:pPr>
        <w:spacing w:after="0" w:line="11" w:lineRule="exact"/>
        <w:rPr>
          <w:rFonts w:ascii="Arial" w:cs="Arial" w:eastAsia="Arial" w:hAnsi="Arial"/>
          <w:sz w:val="16"/>
          <w:szCs w:val="16"/>
          <w:color w:val="auto"/>
        </w:rPr>
      </w:pPr>
    </w:p>
    <w:p>
      <w:pPr>
        <w:ind w:left="302" w:right="480" w:hanging="302"/>
        <w:spacing w:after="0" w:line="255" w:lineRule="auto"/>
        <w:tabs>
          <w:tab w:leader="none" w:pos="302"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Deferred taxes have been reclassified from current assets to non-current liabilities in accordance with ASU 2015-17. See Note 1 of Notes to Consolidated Financial Statements.</w:t>
      </w:r>
    </w:p>
    <w:p>
      <w:pPr>
        <w:ind w:left="302" w:hanging="302"/>
        <w:spacing w:after="0"/>
        <w:tabs>
          <w:tab w:leader="none" w:pos="302" w:val="left"/>
        </w:tabs>
        <w:numPr>
          <w:ilvl w:val="0"/>
          <w:numId w:val="3"/>
        </w:numPr>
        <w:rPr>
          <w:rFonts w:ascii="Arial" w:cs="Arial" w:eastAsia="Arial" w:hAnsi="Arial"/>
          <w:sz w:val="16"/>
          <w:szCs w:val="16"/>
          <w:color w:val="auto"/>
        </w:rPr>
      </w:pPr>
      <w:r>
        <w:rPr>
          <w:rFonts w:ascii="Arial" w:cs="Arial" w:eastAsia="Arial" w:hAnsi="Arial"/>
          <w:sz w:val="16"/>
          <w:szCs w:val="16"/>
          <w:color w:val="auto"/>
        </w:rPr>
        <w:t>Fiscal 2014 consisted of 53 weeks.</w:t>
      </w:r>
    </w:p>
    <w:p>
      <w:pPr>
        <w:spacing w:after="0" w:line="221"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2"/>
          </w:cols>
          <w:pgMar w:left="238" w:top="120" w:right="219" w:bottom="1440" w:gutter="0" w:footer="0" w:header="0"/>
        </w:sectPr>
      </w:pPr>
    </w:p>
    <w:bookmarkStart w:id="16" w:name="page17"/>
    <w:bookmarkEnd w:id="1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National Beverage Corp. innovatively refreshes America with a distinctive portfolio of sparkling waters, juices and, to a lesser degree, energy drinks. Over the past few years, our carbonated soft drink brands continue to be modified as we endeavor to make them more adaptable to our consumers. We believe our ingenious product designs, innovative packaging and imaginative flavors, along with our corporate culture and philosophy, make National Beverage unique as a stand-alone entity in the beverage industry.</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January 1986 found our infant company in possession of a month-old, typical soda pop manufacturer whose acquisition cost had not yet been determined. One, at the time, could have described it as a </w:t>
      </w:r>
      <w:r>
        <w:rPr>
          <w:rFonts w:ascii="Arial" w:cs="Arial" w:eastAsia="Arial" w:hAnsi="Arial"/>
          <w:sz w:val="16"/>
          <w:szCs w:val="16"/>
          <w:i w:val="1"/>
          <w:iCs w:val="1"/>
          <w:color w:val="auto"/>
        </w:rPr>
        <w:t>‘Hail Mary’</w:t>
      </w:r>
      <w:r>
        <w:rPr>
          <w:rFonts w:ascii="Arial" w:cs="Arial" w:eastAsia="Arial" w:hAnsi="Arial"/>
          <w:sz w:val="16"/>
          <w:szCs w:val="16"/>
          <w:color w:val="auto"/>
        </w:rPr>
        <w:t xml:space="preserve"> attempt to thwart another corporate 1980’s raider takeover.</w:t>
      </w:r>
    </w:p>
    <w:p>
      <w:pPr>
        <w:spacing w:after="0" w:line="151"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January 2018 ushered in a corporate marvel of focus that we believe not only defies the beverage giants’ power and might, but finds that its creativity and innovation transformed the entire soft drink industry!</w:t>
      </w:r>
    </w:p>
    <w:p>
      <w:pPr>
        <w:spacing w:after="0" w:line="151"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We primarily employ the warehouse delivery system, which due to the bricks and mortar costs to all retailers, allows our retail partners to further maximize assets by utilizing their ability to pick up product at our warehouses, thus further lowering their/our product costs.</w:t>
      </w:r>
    </w:p>
    <w:p>
      <w:pPr>
        <w:spacing w:after="0" w:line="15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Within the final quarter of FY2018, with the exception of the warehouse delivery system, National Beverage Corp. has completed its transformation from that typical soda pop manufacturer of January 1986 to the master innovator of this healthier refreshment company! From our corporate philosophy, development of products, marketing to manufacturing, we are converting consumers to a </w:t>
      </w:r>
      <w:r>
        <w:rPr>
          <w:rFonts w:ascii="Arial" w:cs="Arial" w:eastAsia="Arial" w:hAnsi="Arial"/>
          <w:sz w:val="16"/>
          <w:szCs w:val="16"/>
          <w:i w:val="1"/>
          <w:iCs w:val="1"/>
          <w:color w:val="auto"/>
        </w:rPr>
        <w:t>‘Better for You’</w:t>
      </w:r>
      <w:r>
        <w:rPr>
          <w:rFonts w:ascii="Arial" w:cs="Arial" w:eastAsia="Arial" w:hAnsi="Arial"/>
          <w:sz w:val="16"/>
          <w:szCs w:val="16"/>
          <w:color w:val="auto"/>
        </w:rPr>
        <w:t xml:space="preserve"> thirst quencher that compassionately cares for their nutritional health. We are in our infancy and have only begun in our quest to innovate for the joy, benefit and enjoyment of our consumers’ healthier lifestyle!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the cornerstone relative to the lead-in paragraph emphasizing National Beverage’s uniqueness: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Many believe that if you put good in – Great comes out . . .</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believe that if we put excellent in – </w:t>
      </w:r>
      <w:r>
        <w:rPr>
          <w:rFonts w:ascii="Arial" w:cs="Arial" w:eastAsia="Arial" w:hAnsi="Arial"/>
          <w:sz w:val="16"/>
          <w:szCs w:val="16"/>
          <w:u w:val="single" w:color="auto"/>
          <w:color w:val="auto"/>
        </w:rPr>
        <w:t>You</w:t>
      </w:r>
      <w:r>
        <w:rPr>
          <w:rFonts w:ascii="Arial" w:cs="Arial" w:eastAsia="Arial" w:hAnsi="Arial"/>
          <w:sz w:val="16"/>
          <w:szCs w:val="16"/>
          <w:color w:val="auto"/>
        </w:rPr>
        <w:t xml:space="preserve"> get magical out!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Presently, National Beverage Corp. is uniquely positioned in three distinctive ways:</w:t>
      </w:r>
    </w:p>
    <w:p>
      <w:pPr>
        <w:spacing w:after="0" w:line="204" w:lineRule="exact"/>
        <w:rPr>
          <w:sz w:val="20"/>
          <w:szCs w:val="20"/>
          <w:color w:val="auto"/>
        </w:rPr>
      </w:pPr>
    </w:p>
    <w:p>
      <w:pPr>
        <w:ind w:left="580" w:right="20" w:hanging="288"/>
        <w:spacing w:after="0" w:line="367" w:lineRule="auto"/>
        <w:tabs>
          <w:tab w:leader="none" w:pos="58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The retail grocery industry is in revolution. Yesteryear, each retailer induced their consumer with a proprietary brand (especially soft drinks), but today understand</w:t>
      </w:r>
      <w:r>
        <w:rPr>
          <w:rFonts w:ascii="Arial" w:cs="Arial" w:eastAsia="Arial" w:hAnsi="Arial"/>
          <w:sz w:val="14"/>
          <w:szCs w:val="14"/>
          <w:b w:val="1"/>
          <w:bCs w:val="1"/>
          <w:color w:val="auto"/>
        </w:rPr>
        <w:t>s</w:t>
      </w:r>
      <w:r>
        <w:rPr>
          <w:rFonts w:ascii="Arial" w:cs="Arial" w:eastAsia="Arial" w:hAnsi="Arial"/>
          <w:sz w:val="14"/>
          <w:szCs w:val="14"/>
          <w:color w:val="auto"/>
        </w:rPr>
        <w:t xml:space="preserve"> that the well-informed, smart consumer is demanding that retailers provide recognizable brands that have earned their respective consumer standing on their merits.</w:t>
      </w:r>
    </w:p>
    <w:p>
      <w:pPr>
        <w:spacing w:after="0" w:line="99" w:lineRule="exact"/>
        <w:rPr>
          <w:rFonts w:ascii="Arial" w:cs="Arial" w:eastAsia="Arial" w:hAnsi="Arial"/>
          <w:sz w:val="14"/>
          <w:szCs w:val="14"/>
          <w:b w:val="1"/>
          <w:bCs w:val="1"/>
          <w:color w:val="auto"/>
        </w:rPr>
      </w:pPr>
    </w:p>
    <w:p>
      <w:pPr>
        <w:jc w:val="both"/>
        <w:ind w:left="580" w:right="20" w:hanging="288"/>
        <w:spacing w:after="0" w:line="270" w:lineRule="auto"/>
        <w:tabs>
          <w:tab w:leader="none" w:pos="5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retail grocer today is in the most competitive-indexed service industry, without exception. Innovation, plus the urgent time demands on the consumer, is requiring quick, expedient shopping and home delivery is even more of a current shoppers’ choice. Retailers cannot carry slower-moving items that home delivery will not support.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 w:name="page18"/>
    <w:bookmarkEnd w:id="1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ind w:left="580" w:hanging="288"/>
        <w:spacing w:after="0" w:line="285" w:lineRule="auto"/>
        <w:tabs>
          <w:tab w:leader="none" w:pos="5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new Millennial consumer is the most competent/knowledgeable product analyzer ever, and personal mental/physical lifestyles demand that healthier is their preferred choice. Calories must qualify as worthy; sugar being enemy #1 in the life of the Millennial.</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that larger competitors who are burdened by legacy production, distribution complexity and costs cannot quickly comply with.</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Presently, our primary market focus is the United States and Canada. Certain of our products are also distributed on a limited basis in other countries and options to expand distribution to other regions are being considered. To service a diverse customer base that includes numerous national retailers, as well as thousands of smaller “up-and-down-the-street” accounts, we utilize a hybrid distribution system to deliver our products primarily through the warehouse delivery system and distributors.</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National Beverage Corp. is incorporated in Delaware and began trading as a public company on the NASDAQ Stock Market in 1991. In this report, the terms “we,” “us,” “our,” “Company” and “National Beverage” mean National Beverage Corp. and its subsidiaries unless indicated otherwise.</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operating results are affected by numerous factors, including fluctuations in the costs of raw materials, holiday and seasonal programming and weather conditions. While yesteryear witnessed more seasonality, higher sales are realized during the summer when outdoor activities are more prevalent.</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highly innovative business, where new beverages are developed and produced for selective holidays and ceremonial dates, should not be analyzed on the common three-month (quarterly) periods, traditionally found acceptable. Today, costly development projects and seasonal weather periods plus promotional packaging, make quarter-to-quarter comparisons unworthy statistics and forces companies to decision making for that purpose, not truly beneficial for investors and shareholders alike.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Traditional and typical are not a part of an innovator’s vocabulary.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Sales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sales for fiscal year ended April 28, 2018 (“Fiscal 2018”) increased 18.0% to $975.7 million compared to $826.9 million for fiscal year ended April 29, 2017 (“Fiscal 2017”). The increase in sales resulted primarily from a 19.8% increase in branded case volume and, to a lesser extent, a higher average selling price. Power+ Brands volume increased 38.9%; branded carbonated soft drinks volume declined by 6.2%. The Company discontinued its lower-margin, private-label carbonated soft drink business in the third quarter of Fiscal 2018, allowing future performance to be more focused on brand equity appreciation.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sales for Fiscal 2017 increased 17.3% to $826.9 million compared to $704.8 million for the fiscal year ended April 30, 2016 (“Fiscal 2016”). The increase in sales resulted primarily from a 16.6% increase in case volume and, to a lesser extent, a higher average selling price. Power+ Brands volume increased 42.6%; branded carbonated soft drinks volume was flat.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Gross profit for Fiscal 2018 increased 20.0% to $391.1 million compared to $326.1million for Fiscal 2017. The increase in gross profit is due to increased volume and growth in higher margin Power+ Brands, offset in part by increased cost of sales per case. Cost of sales per case increased 1.0% primarily due to higher aluminum costs. Gross margin expanded to 40.1%.</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Gross profit for Fiscal 2017 increased 35.1% to $326.1 million compared to $241.4 million for Fiscal 2016. The increase in gross profit was due to increased volume, growth in higher margin Power+ Brands and a decline in cost of sales per case of 5.7%. The decrease in cost of sales per case was due to favorable product mix changes and lower raw material costs. Gross margin expanded to 39.4%.</w:t>
      </w:r>
    </w:p>
    <w:p>
      <w:pPr>
        <w:spacing w:after="0" w:line="162"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Shipping and handling costs are included in selling, general and administrative expenses, the classification of which is consistent with many beverage companies. However, our gross margin may not be comparable to companies that include shipping and handling costs in cost of sales. See Note 1 of 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Selling, general and administrative expenses were $186.9 million or 19.2% of net sales for Fiscal 2018, increasing $23.3 million from Fiscal 2017. The increase was primarily due to shipping and other volume-related expenses and marketing spending increases. As a percent of net sales, selling, general and administrative expenses decreased primarily due to the leveraging effects of higher volume on fixed costs.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Selling, general and administrative expenses were $163.6 million or 19.8% of net sales for Fiscal 2017 compared to $148.4 million or 21.1% of net sales for Fiscal 2016. The increase was primarily due to shipping and other volume-related expenses and marketing spending increases. As a percent of net sales, selling, general and administrative expenses decreased primarily due to the leveraging effects of higher volume on fixed costs and growth of products distributed by customer pick-up.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and Other Expense (Income) - Net</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Interest expense is comprised of fees related to maintaining lines of credit and, for part of Fiscal 2016, interest on borrowings. Interest expense was essentially flat for all years presented. Other expense is net of interest income of $1.6 million for Fiscal 2018, $.6 million for Fiscal 2017 and $.1 million for Fiscal 2016. The change in interest income is due to changes in average invested balances and increased return on investments.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effective tax rate was 27.1% for Fiscal 2018, 34.3% for Fiscal 2017 and 34% for Fiscal 2016. The reduction in the effective tax rate was due to the statutory rate decreases set forth in the Tax Cuts and Jobs Act (the “Tax Act”) enacted into law on December 22, 2017. Under the Tax Act, the applicable federal statutory rate was 30.4% for Fiscal 2018. Included in the effective tax rate for Fiscal 2018 is a one-time adjustment reducing income tax expense to remeasure previous deferred tax liabilities of $4.3 million. In all years, the difference between the effective rate and the federal statutory rate was due to the effects of state income taxes, the domestic manufacturing deduction and share-based payment awards. The applicable federal statutory rate under the Tax Act will be reduced to 21% for fiscal 2019. See Note 7 of 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principal source of funds is cash generated from operations. At April 28, 2018, we maintained $100 million unsecured revolving credit facilities, under which no borrowings were outstanding and $2.1 million was reserved for standby letters of credit. We believe that existing capital resources will be sufficient to meet our liquidity and capital requirements for the next twelve months. See Note 4 of Notes to Consolidated Financial Statements.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continually evaluate capital projects to expand our production capacity, enhance packaging capabilities or improve efficiencies at our production facilities. Expenditures for property, plant and equipment amounted to $32.0 million for Fiscal 2018 primarily to expand production capacity. The Company expects capital expenditures to increase in Fiscal 2019 to support volume growth.</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paid special cash dividends on Common Stock of $69.9 million ($1.50 per share) on both August 4, 2017 and January 27, 2017. The Company has announced it plans to develop a program to increase distribution to shareholders based on the length of time they have owned their shares.</w:t>
      </w:r>
    </w:p>
    <w:p>
      <w:pPr>
        <w:spacing w:after="0" w:line="151"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Pursuant to a management agreement, we incurred a fee to Corporate Management Advisors, Inc. (“CMA”) of $9.8 million for Fiscal 2018, $8.3 million for Fiscal 2017 and $7.0 million for Fiscal 2016. At April 28, 2018, management fees payable to CMA were $2.4 million. See Note 5 of 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During Fiscal 2018, $154.7 million was provided by operating activities, $31.9 million was used in investing activities and $69.3 million was used in financing activities. Cash provided by operating activities increased $40.5 million primarily due to increased earnings offset in part by increased working capital. Cash used in investing activities increased due to increased capital expenditures. Spending on property, plant and equipment exceeded depreciation expense, our typical investment level, in order to support volume growth. Cash used in financing activities includes the $69.9 million ($1.50 per share) special cash dividend paid on August 4, 2017.</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Fiscal 2017, $114.3 million was provided by operating activities, $14.0 million was used in investing activities and $69.5 million was used in financing activities. Cash provided by operating activities increased $33.8 million primarily due to increased earnings and favorable changes in working capital. Cash used in investing activities increased $2.0 million reflecting higher capital expenditures and lower proceeds from the sale of property. Cash used in financing activities includes the $69.9 million ($1.50 per share) special cash dividend paid on January 27,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Position</w:t>
      </w:r>
    </w:p>
    <w:p>
      <w:pPr>
        <w:spacing w:after="0" w:line="23"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During Fiscal 2018, our working capital increased to $248.3 million from $181.1 million at April 29, 2017. The increase in working capital resulted from higher cash, trade receivables and inventory, partially offset by higher accounts payable and accrued liabilities. Trade receivables increased $13.0 million or 18.3% due to increased sales, and days sales outstanding increased to 31.4 days from 30.6 days. Inventories increased $7.6 million or 14.2% as a result of increased finished goods and raw materials to support sales increases. Annual inventory turns remained unchanged at 9.5 times. As of April 28, 2018, the current ratio was 3.4 to 1 compared to 3.1 to 1 at April 29, 2017.</w:t>
      </w:r>
    </w:p>
    <w:p>
      <w:pPr>
        <w:spacing w:after="0" w:line="154"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During Fiscal 2017, our working capital increased to $181.1 million from $143.6 million at April 30, 2016. The increase in working capital resulted from higher cash, trade receivables and inventory, partially offset by higher accounts payable and accrued liabilities. Trade receivables increased $10.3 million or 17% due to increased sales while days sales outstanding improved to 30.6 days from 31.0 days. Inventories increased $5.4 million as a result of higher finished goods levels to support sales increases. Annual inventory turns remained unchanged at 9.5 times. At April 29, 2017, the current ratio was 3.1 to 1 compared to 2.9 to 1 at April 30,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60" w:type="dxa"/>
            <w:vAlign w:val="bottom"/>
          </w:tcPr>
          <w:p>
            <w:pPr>
              <w:spacing w:after="0"/>
              <w:rPr>
                <w:sz w:val="20"/>
                <w:szCs w:val="20"/>
                <w:color w:val="auto"/>
              </w:rPr>
            </w:pPr>
            <w:r>
              <w:rPr>
                <w:rFonts w:ascii="Arial" w:cs="Arial" w:eastAsia="Arial" w:hAnsi="Arial"/>
                <w:sz w:val="16"/>
                <w:szCs w:val="16"/>
                <w:b w:val="1"/>
                <w:bCs w:val="1"/>
                <w:color w:val="auto"/>
              </w:rPr>
              <w:t>CONTRACTUAL OBLIGATIONS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4460" w:type="dxa"/>
            <w:vAlign w:val="bottom"/>
          </w:tcPr>
          <w:p>
            <w:pPr>
              <w:spacing w:after="0"/>
              <w:rPr>
                <w:sz w:val="20"/>
                <w:szCs w:val="20"/>
                <w:color w:val="auto"/>
              </w:rPr>
            </w:pPr>
            <w:r>
              <w:rPr>
                <w:rFonts w:ascii="Arial" w:cs="Arial" w:eastAsia="Arial" w:hAnsi="Arial"/>
                <w:sz w:val="16"/>
                <w:szCs w:val="16"/>
                <w:color w:val="auto"/>
                <w:w w:val="98"/>
              </w:rPr>
              <w:t>Contractual obligations at April 28, 2018 are payable as follows: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color w:val="auto"/>
                <w:w w:val="97"/>
              </w:rPr>
              <w:t>(In thousands)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60"/>
              <w:spacing w:after="0" w:line="177" w:lineRule="exact"/>
              <w:rPr>
                <w:sz w:val="20"/>
                <w:szCs w:val="20"/>
                <w:color w:val="auto"/>
              </w:rPr>
            </w:pPr>
            <w:r>
              <w:rPr>
                <w:rFonts w:ascii="Arial" w:cs="Arial" w:eastAsia="Arial" w:hAnsi="Arial"/>
                <w:sz w:val="16"/>
                <w:szCs w:val="16"/>
                <w:color w:val="auto"/>
                <w:w w:val="90"/>
              </w:rPr>
              <w:t>Less Than</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8"/>
              <w:spacing w:after="0" w:line="177" w:lineRule="exact"/>
              <w:rPr>
                <w:sz w:val="20"/>
                <w:szCs w:val="20"/>
                <w:color w:val="auto"/>
              </w:rPr>
            </w:pPr>
            <w:r>
              <w:rPr>
                <w:rFonts w:ascii="Arial" w:cs="Arial" w:eastAsia="Arial" w:hAnsi="Arial"/>
                <w:sz w:val="16"/>
                <w:szCs w:val="16"/>
                <w:color w:val="auto"/>
              </w:rPr>
              <w:t>More Than</w:t>
            </w:r>
          </w:p>
        </w:tc>
        <w:tc>
          <w:tcPr>
            <w:tcW w:w="120" w:type="dxa"/>
            <w:vAlign w:val="bottom"/>
          </w:tcPr>
          <w:p>
            <w:pPr>
              <w:spacing w:after="0"/>
              <w:rPr>
                <w:sz w:val="15"/>
                <w:szCs w:val="15"/>
                <w:color w:val="auto"/>
              </w:rPr>
            </w:pPr>
          </w:p>
        </w:tc>
      </w:tr>
      <w:tr>
        <w:trPr>
          <w:trHeight w:val="208"/>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8"/>
              </w:rPr>
              <w:t>1 Year</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92"/>
              </w:rPr>
              <w:t>1 to 3 Years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 to 5 Years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5 Years</w:t>
            </w:r>
          </w:p>
        </w:tc>
        <w:tc>
          <w:tcPr>
            <w:tcW w:w="120" w:type="dxa"/>
            <w:vAlign w:val="bottom"/>
          </w:tcPr>
          <w:p>
            <w:pPr>
              <w:spacing w:after="0"/>
              <w:rPr>
                <w:sz w:val="18"/>
                <w:szCs w:val="18"/>
                <w:color w:val="auto"/>
              </w:rPr>
            </w:pP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28,448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1,531</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Purchase commitments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15,875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11,287</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1,048</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1,531</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We contribute to certain pension plans under collective bargaining agreements and to a discretionary profit sharing plan. Annual contributions were $3.4 million for Fiscal 2018, $3.1 million for Fiscal 2017 and $2.9 million for Fiscal 2016. See Note 9 of Notes to Consolidated Financial Statements.</w:t>
      </w:r>
    </w:p>
    <w:p>
      <w:pPr>
        <w:spacing w:after="0" w:line="15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maintain self-insured and deductible programs for certain liability, medical and workers’ compensation exposures. Other long-term liabilities include known claims and estimated incurred but not reported claims not otherwise covered by insurance, based on actuarial assumptions and historical claims experience. Since the timing and amount of claim payments vary significantly, we are not able to reasonably estimate future payments for specific periods and therefore such payments have not been included in the table above. Standby letters of credit aggregating $2.1 million have been issued in connection with our self-insurance programs. These standby letters of credit expire through March 2019 and are expected to be renewed.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1" w:name="page22"/>
    <w:bookmarkEnd w:id="2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that have, or are reasonably likely to have, a current or future material effect on our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Although these estimates are based on management’s knowledge of current events and actions it may undertake in the future, they may ultimately differ from actual results. We believe that the critical accounting policies described in the following paragraphs comprise the most significant estimates and assumptions used in the preparation of our consolidated financial statements. For these policies, we caution that future events rarely develop exactly as estimated and the best estimates routinely require adjustment.</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sell products to a variety of customers and extend credit based on an evaluation of each customer’s financial condition, generally without requiring collateral. Exposure to credit losses varies by customer principally due to the financial condition of each customer. We monitor our exposure to credit losses and maintain allowances for anticipated losses based on specific customer circumstances, credit conditions and historical write-offs.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All long-lived assets, excluding goodwill and intangible assets not subject to amortization, are evaluated for impairment on the basis of undiscounted cash flows whenever events or changes in circumstances indicate that the carrying amount of an asset may not be recoverable. An impaired asset is written down to its estimated fair value based on the best information available. Estimated fair value is generally measured by discounting future cash flows. Goodwill and intangible assets not subject to amortization are evaluated for impairment annually or sooner if we believe such assets may be impaired. An impairment loss is recognized if the carrying amount or, for goodwill, the carrying amount of its reporting unit, is greater than its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effective income tax rate is based on estimates of taxes which will ultimately be payable. Deferred taxes are recorded to give recognition to temporary differences between the tax bases of assets or liabilities and their reported amounts in the financial statements. Valuation allowances are established to reduce the carrying amounts of deferred tax assets when it is deemed, more likely than not, that the benefit of deferred tax assets will not be realized.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Insurance Programs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maintain self-insured and deductible programs for certain liability, medical and workers’ compensation exposures. Accordingly, we accrue for known claims and estimated incurred but not reported claims not otherwise covered by insurance based on actuarial assumptions and historical claims experience.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3"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We recognize revenue upon delivery to our customers, based on written sales terms that do not allow a right of return except in rare instances. Our products are typically sold on credit, however smaller direct-store delivery accounts may be sold on a cash basis. Our credit terms typically require payment within 30 days of delivery and may allow discounts for early payment. We estimate and reserve for bad debt exposure based on our experience with past due accounts, collectability and our analysis of customer data.</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We offer various sales incentive arrangements to our customers that require customer performance or achievement of certain sales volume targets. Sales incentives are accrued over the period of benefit or expected sales. When the incentive is paid in advance, the aggregate incentive is recorded as a prepaid and amortized over the period of benefit. The recognition of these incentives involves the use of judgment related to performance and sales volume estimates that are made based on historical experience and other factors. Sales incentives are accounted for as a reduction of sales and actual amounts ultimately realized may vary from accrued amounts. Such differences are recorded once determined and have historically not been significant. We will adopt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and its amendments on April 29, 2018. See Note 1 to our consolidated financial statements for additional information on revenue recognition and the transition to the new revenue recognition guidance.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2" w:lineRule="exact"/>
        <w:rPr>
          <w:sz w:val="20"/>
          <w:szCs w:val="20"/>
          <w:color w:val="auto"/>
        </w:rPr>
      </w:pPr>
    </w:p>
    <w:p>
      <w:pPr>
        <w:jc w:val="both"/>
        <w:ind w:right="20"/>
        <w:spacing w:after="0" w:line="298" w:lineRule="auto"/>
        <w:rPr>
          <w:sz w:val="20"/>
          <w:szCs w:val="20"/>
          <w:color w:val="auto"/>
        </w:rPr>
      </w:pPr>
      <w:r>
        <w:rPr>
          <w:rFonts w:ascii="Arial" w:cs="Arial" w:eastAsia="Arial" w:hAnsi="Arial"/>
          <w:sz w:val="14"/>
          <w:szCs w:val="14"/>
          <w:color w:val="auto"/>
        </w:rPr>
        <w:t>National Beverage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and "estimates"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forward-looking statements. Such factors include, but are not limited to, the following: general economic and business conditions, pricing of competitive products, success of new product and flavor introductions, fluctuations in the costs of raw materials and packaging supplies, ability to pass along cost increases to our customers, labor strikes or work stoppages or other interruptions in the employment of labor, continued retailer support for our products, changes in brand image, consumer preferences and our success in creating products geared toward consumers’ tastes, success in implementing business strategies, changes in business strategy or development plans, government regulations, taxes or fees imposed on the sale of our products, unfavorable weather conditions and other factors referenced in this report, filings with the Securities and Exchange Commission and other reports to our stockholders. We disclaim an obligation to update any such factors or to publicly announce the results of any revisions to any forward-looking statements contained herein to reflect future events or developments.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3" w:name="page24"/>
    <w:bookmarkEnd w:id="2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Commodities</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We purchase various raw materials, including aluminum cans, plastic bottles, high fructose corn syrup, corrugated packaging and juice concentrates, the prices of which fluctuate based on commodity market conditions. Our ability to recover increased costs through higher pricing may be limited by the competitive environment in which we operate. At times, we manage our exposure to this risk through the use of supplier pricing agreements that enable us to establish all, or a portion of, the purchase prices for certain raw materials. Additionally, we use derivative financial instruments to partially mitigate our exposure to changes in certain raw material costs.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 April 28, 2018, the Company had no borrowings outstanding. We had no debt-related interest rate exposure during Fiscal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4" w:name="page25"/>
    <w:bookmarkEnd w:id="2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25932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April 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6"/>
                <w:szCs w:val="16"/>
                <w:color w:val="auto"/>
              </w:rPr>
              <w:t>April 29,</w:t>
            </w:r>
          </w:p>
        </w:tc>
      </w:tr>
      <w:tr>
        <w:trPr>
          <w:trHeight w:val="208"/>
        </w:trPr>
        <w:tc>
          <w:tcPr>
            <w:tcW w:w="8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18"/>
                <w:szCs w:val="18"/>
                <w:color w:val="auto"/>
              </w:rPr>
            </w:pPr>
          </w:p>
        </w:tc>
      </w:tr>
      <w:tr>
        <w:trPr>
          <w:trHeight w:val="189"/>
        </w:trPr>
        <w:tc>
          <w:tcPr>
            <w:tcW w:w="8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6"/>
        </w:trPr>
        <w:tc>
          <w:tcPr>
            <w:tcW w:w="804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equivalents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189,864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136,372</w:t>
            </w:r>
          </w:p>
        </w:tc>
      </w:tr>
      <w:tr>
        <w:trPr>
          <w:trHeight w:val="196"/>
        </w:trPr>
        <w:tc>
          <w:tcPr>
            <w:tcW w:w="8040" w:type="dxa"/>
            <w:vAlign w:val="bottom"/>
          </w:tcPr>
          <w:p>
            <w:pPr>
              <w:ind w:left="140"/>
              <w:spacing w:after="0"/>
              <w:rPr>
                <w:sz w:val="20"/>
                <w:szCs w:val="20"/>
                <w:color w:val="auto"/>
              </w:rPr>
            </w:pPr>
            <w:r>
              <w:rPr>
                <w:rFonts w:ascii="Arial" w:cs="Arial" w:eastAsia="Arial" w:hAnsi="Arial"/>
                <w:sz w:val="16"/>
                <w:szCs w:val="16"/>
                <w:color w:val="auto"/>
              </w:rPr>
              <w:t>Trade receivables - net</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84,360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71,319</w:t>
            </w:r>
          </w:p>
        </w:tc>
      </w:tr>
      <w:tr>
        <w:trPr>
          <w:trHeight w:val="19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60,920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53,355</w:t>
            </w:r>
          </w:p>
        </w:tc>
      </w:tr>
      <w:tr>
        <w:trPr>
          <w:trHeight w:val="196"/>
        </w:trPr>
        <w:tc>
          <w:tcPr>
            <w:tcW w:w="8040" w:type="dxa"/>
            <w:vAlign w:val="bottom"/>
          </w:tcPr>
          <w:p>
            <w:pPr>
              <w:ind w:left="140"/>
              <w:spacing w:after="0"/>
              <w:rPr>
                <w:sz w:val="20"/>
                <w:szCs w:val="20"/>
                <w:color w:val="auto"/>
              </w:rPr>
            </w:pPr>
            <w:r>
              <w:rPr>
                <w:rFonts w:ascii="Arial" w:cs="Arial" w:eastAsia="Arial" w:hAnsi="Arial"/>
                <w:sz w:val="16"/>
                <w:szCs w:val="16"/>
                <w:color w:val="auto"/>
              </w:rPr>
              <w:t>Prepaid and other assets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7,275</w:t>
            </w:r>
          </w:p>
        </w:tc>
      </w:tr>
      <w:tr>
        <w:trPr>
          <w:trHeight w:val="20"/>
        </w:trPr>
        <w:tc>
          <w:tcPr>
            <w:tcW w:w="8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8"/>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268,321</w:t>
            </w:r>
          </w:p>
        </w:tc>
      </w:tr>
      <w:tr>
        <w:trPr>
          <w:trHeight w:val="196"/>
        </w:trPr>
        <w:tc>
          <w:tcPr>
            <w:tcW w:w="8040" w:type="dxa"/>
            <w:vAlign w:val="bottom"/>
          </w:tcPr>
          <w:p>
            <w:pPr>
              <w:spacing w:after="0"/>
              <w:rPr>
                <w:sz w:val="20"/>
                <w:szCs w:val="20"/>
                <w:color w:val="auto"/>
              </w:rPr>
            </w:pPr>
            <w:r>
              <w:rPr>
                <w:rFonts w:ascii="Arial" w:cs="Arial" w:eastAsia="Arial" w:hAnsi="Arial"/>
                <w:sz w:val="16"/>
                <w:szCs w:val="16"/>
                <w:color w:val="auto"/>
              </w:rPr>
              <w:t>Property, plant and equipment - net</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85,807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65,150</w:t>
            </w:r>
          </w:p>
        </w:tc>
      </w:tr>
      <w:tr>
        <w:trPr>
          <w:trHeight w:val="196"/>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13,145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13,145</w:t>
            </w:r>
          </w:p>
        </w:tc>
      </w:tr>
      <w:tr>
        <w:trPr>
          <w:trHeight w:val="196"/>
        </w:trPr>
        <w:tc>
          <w:tcPr>
            <w:tcW w:w="8040" w:type="dxa"/>
            <w:vAlign w:val="bottom"/>
          </w:tcPr>
          <w:p>
            <w:pPr>
              <w:spacing w:after="0"/>
              <w:rPr>
                <w:sz w:val="20"/>
                <w:szCs w:val="20"/>
                <w:color w:val="auto"/>
              </w:rPr>
            </w:pPr>
            <w:r>
              <w:rPr>
                <w:rFonts w:ascii="Arial" w:cs="Arial" w:eastAsia="Arial" w:hAnsi="Arial"/>
                <w:sz w:val="16"/>
                <w:szCs w:val="16"/>
                <w:color w:val="auto"/>
              </w:rPr>
              <w:t>Intangible assets</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1,615</w:t>
            </w:r>
          </w:p>
        </w:tc>
      </w:tr>
      <w:tr>
        <w:trPr>
          <w:trHeight w:val="196"/>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5,752</w:t>
            </w:r>
          </w:p>
        </w:tc>
      </w:tr>
      <w:tr>
        <w:trPr>
          <w:trHeight w:val="20"/>
        </w:trPr>
        <w:tc>
          <w:tcPr>
            <w:tcW w:w="80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8"/>
        </w:trPr>
        <w:tc>
          <w:tcPr>
            <w:tcW w:w="804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458,832</w:t>
            </w:r>
          </w:p>
        </w:tc>
        <w:tc>
          <w:tcPr>
            <w:tcW w:w="140" w:type="dxa"/>
            <w:vAlign w:val="bottom"/>
          </w:tcPr>
          <w:p>
            <w:pPr>
              <w:spacing w:after="0"/>
              <w:rPr>
                <w:sz w:val="16"/>
                <w:szCs w:val="16"/>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353,983</w:t>
            </w:r>
          </w:p>
        </w:tc>
      </w:tr>
      <w:tr>
        <w:trPr>
          <w:trHeight w:val="20"/>
        </w:trPr>
        <w:tc>
          <w:tcPr>
            <w:tcW w:w="8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3"/>
        </w:trPr>
        <w:tc>
          <w:tcPr>
            <w:tcW w:w="8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6"/>
        </w:trPr>
        <w:tc>
          <w:tcPr>
            <w:tcW w:w="804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80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74,853</w:t>
            </w: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58,100</w:t>
            </w:r>
          </w:p>
        </w:tc>
      </w:tr>
      <w:tr>
        <w:trPr>
          <w:trHeight w:val="19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29,718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29,017</w:t>
            </w:r>
          </w:p>
        </w:tc>
      </w:tr>
      <w:tr>
        <w:trPr>
          <w:trHeight w:val="196"/>
        </w:trPr>
        <w:tc>
          <w:tcPr>
            <w:tcW w:w="804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7"/>
                <w:szCs w:val="17"/>
                <w:color w:val="auto"/>
              </w:rPr>
            </w:pPr>
          </w:p>
        </w:tc>
      </w:tr>
      <w:tr>
        <w:trPr>
          <w:trHeight w:val="188"/>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104,670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87,206</w:t>
            </w:r>
          </w:p>
        </w:tc>
      </w:tr>
      <w:tr>
        <w:trPr>
          <w:trHeight w:val="196"/>
        </w:trPr>
        <w:tc>
          <w:tcPr>
            <w:tcW w:w="8040" w:type="dxa"/>
            <w:vAlign w:val="bottom"/>
          </w:tcPr>
          <w:p>
            <w:pPr>
              <w:spacing w:after="0"/>
              <w:rPr>
                <w:sz w:val="20"/>
                <w:szCs w:val="20"/>
                <w:color w:val="auto"/>
              </w:rPr>
            </w:pPr>
            <w:r>
              <w:rPr>
                <w:rFonts w:ascii="Arial" w:cs="Arial" w:eastAsia="Arial" w:hAnsi="Arial"/>
                <w:sz w:val="16"/>
                <w:szCs w:val="16"/>
                <w:color w:val="auto"/>
              </w:rPr>
              <w:t>Deferred income taxes - net</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14,502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12,087</w:t>
            </w:r>
          </w:p>
        </w:tc>
      </w:tr>
      <w:tr>
        <w:trPr>
          <w:trHeight w:val="196"/>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9,072</w:t>
            </w:r>
          </w:p>
        </w:tc>
      </w:tr>
      <w:tr>
        <w:trPr>
          <w:trHeight w:val="196"/>
        </w:trPr>
        <w:tc>
          <w:tcPr>
            <w:tcW w:w="8040" w:type="dxa"/>
            <w:vAlign w:val="bottom"/>
          </w:tcPr>
          <w:p>
            <w:pPr>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 par value - 1,000,000 shares authorized</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8040" w:type="dxa"/>
            <w:vAlign w:val="bottom"/>
          </w:tcPr>
          <w:p>
            <w:pPr>
              <w:ind w:left="300"/>
              <w:spacing w:after="0"/>
              <w:rPr>
                <w:sz w:val="20"/>
                <w:szCs w:val="20"/>
                <w:color w:val="auto"/>
              </w:rPr>
            </w:pPr>
            <w:r>
              <w:rPr>
                <w:rFonts w:ascii="Arial" w:cs="Arial" w:eastAsia="Arial" w:hAnsi="Arial"/>
                <w:sz w:val="16"/>
                <w:szCs w:val="16"/>
                <w:color w:val="auto"/>
              </w:rPr>
              <w:t>Series C - 150,000 shares issued</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r>
      <w:tr>
        <w:trPr>
          <w:trHeight w:val="183"/>
        </w:trPr>
        <w:tc>
          <w:tcPr>
            <w:tcW w:w="80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Common stock, $.01 par value - 75,000,000 shares authorized; 50,650,784 shares (2018) and 50,616,134 shares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8"/>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(2017) issued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506</w:t>
            </w:r>
          </w:p>
        </w:tc>
      </w:tr>
      <w:tr>
        <w:trPr>
          <w:trHeight w:val="196"/>
        </w:trPr>
        <w:tc>
          <w:tcPr>
            <w:tcW w:w="80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36,358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35,638</w:t>
            </w:r>
          </w:p>
        </w:tc>
      </w:tr>
      <w:tr>
        <w:trPr>
          <w:trHeight w:val="19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307,824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227,928</w:t>
            </w:r>
          </w:p>
        </w:tc>
      </w:tr>
      <w:tr>
        <w:trPr>
          <w:trHeight w:val="196"/>
        </w:trPr>
        <w:tc>
          <w:tcPr>
            <w:tcW w:w="8040" w:type="dxa"/>
            <w:vAlign w:val="bottom"/>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4,601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(604)</w:t>
            </w:r>
          </w:p>
        </w:tc>
      </w:tr>
      <w:tr>
        <w:trPr>
          <w:trHeight w:val="19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 at cost: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8040" w:type="dxa"/>
            <w:vAlign w:val="bottom"/>
          </w:tcPr>
          <w:p>
            <w:pPr>
              <w:ind w:left="300"/>
              <w:spacing w:after="0"/>
              <w:rPr>
                <w:sz w:val="20"/>
                <w:szCs w:val="20"/>
                <w:color w:val="auto"/>
              </w:rPr>
            </w:pPr>
            <w:r>
              <w:rPr>
                <w:rFonts w:ascii="Arial" w:cs="Arial" w:eastAsia="Arial" w:hAnsi="Arial"/>
                <w:sz w:val="16"/>
                <w:szCs w:val="16"/>
                <w:color w:val="auto"/>
              </w:rPr>
              <w:t>Series C preferred stock - 150,000 shares</w:t>
            </w: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(5,100)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(5,100)</w:t>
            </w:r>
          </w:p>
        </w:tc>
      </w:tr>
      <w:tr>
        <w:trPr>
          <w:trHeight w:val="196"/>
        </w:trPr>
        <w:tc>
          <w:tcPr>
            <w:tcW w:w="8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- 4,032,784 shares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(12,900)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(12,900)</w:t>
            </w:r>
          </w:p>
        </w:tc>
      </w:tr>
      <w:tr>
        <w:trPr>
          <w:trHeight w:val="20"/>
        </w:trPr>
        <w:tc>
          <w:tcPr>
            <w:tcW w:w="80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8"/>
        </w:trPr>
        <w:tc>
          <w:tcPr>
            <w:tcW w:w="8040" w:type="dxa"/>
            <w:vAlign w:val="bottom"/>
          </w:tcPr>
          <w:p>
            <w:pPr>
              <w:ind w:left="140"/>
              <w:spacing w:after="0"/>
              <w:rPr>
                <w:sz w:val="20"/>
                <w:szCs w:val="20"/>
                <w:color w:val="auto"/>
              </w:rPr>
            </w:pPr>
            <w:r>
              <w:rPr>
                <w:rFonts w:ascii="Arial" w:cs="Arial" w:eastAsia="Arial" w:hAnsi="Arial"/>
                <w:sz w:val="16"/>
                <w:szCs w:val="16"/>
                <w:color w:val="auto"/>
              </w:rPr>
              <w:t>Total shareholders' equity</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331,440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245,618</w:t>
            </w:r>
          </w:p>
        </w:tc>
      </w:tr>
      <w:tr>
        <w:trPr>
          <w:trHeight w:val="20"/>
        </w:trPr>
        <w:tc>
          <w:tcPr>
            <w:tcW w:w="8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458,832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353,983</w:t>
            </w:r>
          </w:p>
        </w:tc>
      </w:tr>
      <w:tr>
        <w:trPr>
          <w:trHeight w:val="20"/>
        </w:trPr>
        <w:tc>
          <w:tcPr>
            <w:tcW w:w="8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5" w:name="page26"/>
    <w:bookmarkEnd w:id="2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2593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0"/>
              </w:rPr>
              <w:t>Fiscal Year Ended</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7"/>
        </w:trPr>
        <w:tc>
          <w:tcPr>
            <w:tcW w:w="4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680"/>
              <w:spacing w:after="0" w:line="177" w:lineRule="exact"/>
              <w:rPr>
                <w:sz w:val="20"/>
                <w:szCs w:val="20"/>
                <w:color w:val="auto"/>
              </w:rPr>
            </w:pPr>
            <w:r>
              <w:rPr>
                <w:rFonts w:ascii="Arial" w:cs="Arial" w:eastAsia="Arial" w:hAnsi="Arial"/>
                <w:sz w:val="16"/>
                <w:szCs w:val="16"/>
                <w:color w:val="auto"/>
              </w:rPr>
              <w:t>April 28,</w:t>
            </w:r>
          </w:p>
        </w:tc>
        <w:tc>
          <w:tcPr>
            <w:tcW w:w="100" w:type="dxa"/>
            <w:vAlign w:val="bottom"/>
          </w:tcPr>
          <w:p>
            <w:pPr>
              <w:spacing w:after="0"/>
              <w:rPr>
                <w:sz w:val="15"/>
                <w:szCs w:val="15"/>
                <w:color w:val="auto"/>
              </w:rPr>
            </w:pPr>
          </w:p>
        </w:tc>
        <w:tc>
          <w:tcPr>
            <w:tcW w:w="1520" w:type="dxa"/>
            <w:vAlign w:val="bottom"/>
            <w:gridSpan w:val="2"/>
          </w:tcPr>
          <w:p>
            <w:pPr>
              <w:jc w:val="center"/>
              <w:ind w:right="240"/>
              <w:spacing w:after="0" w:line="177" w:lineRule="exact"/>
              <w:rPr>
                <w:sz w:val="20"/>
                <w:szCs w:val="20"/>
                <w:color w:val="auto"/>
              </w:rPr>
            </w:pPr>
            <w:r>
              <w:rPr>
                <w:rFonts w:ascii="Arial" w:cs="Arial" w:eastAsia="Arial" w:hAnsi="Arial"/>
                <w:sz w:val="16"/>
                <w:szCs w:val="16"/>
                <w:color w:val="auto"/>
              </w:rPr>
              <w:t>April 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58"/>
              <w:spacing w:after="0" w:line="177" w:lineRule="exact"/>
              <w:rPr>
                <w:sz w:val="20"/>
                <w:szCs w:val="20"/>
                <w:color w:val="auto"/>
              </w:rPr>
            </w:pPr>
            <w:r>
              <w:rPr>
                <w:rFonts w:ascii="Arial" w:cs="Arial" w:eastAsia="Arial" w:hAnsi="Arial"/>
                <w:sz w:val="16"/>
                <w:szCs w:val="16"/>
                <w:color w:val="auto"/>
              </w:rPr>
              <w:t>April 30,</w:t>
            </w:r>
          </w:p>
        </w:tc>
        <w:tc>
          <w:tcPr>
            <w:tcW w:w="120" w:type="dxa"/>
            <w:vAlign w:val="bottom"/>
          </w:tcPr>
          <w:p>
            <w:pPr>
              <w:spacing w:after="0"/>
              <w:rPr>
                <w:sz w:val="15"/>
                <w:szCs w:val="15"/>
                <w:color w:val="auto"/>
              </w:rPr>
            </w:pPr>
          </w:p>
        </w:tc>
      </w:tr>
      <w:tr>
        <w:trPr>
          <w:trHeight w:val="208"/>
        </w:trPr>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r>
      <w:tr>
        <w:trPr>
          <w:trHeight w:val="189"/>
        </w:trPr>
        <w:tc>
          <w:tcPr>
            <w:tcW w:w="4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975,734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826,918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704,785</w:t>
            </w:r>
          </w:p>
        </w:tc>
      </w:tr>
      <w:tr>
        <w:trPr>
          <w:trHeight w:val="196"/>
        </w:trPr>
        <w:tc>
          <w:tcPr>
            <w:tcW w:w="4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500,841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463,348</w:t>
            </w:r>
          </w:p>
        </w:tc>
      </w:tr>
      <w:tr>
        <w:trPr>
          <w:trHeight w:val="188"/>
        </w:trPr>
        <w:tc>
          <w:tcPr>
            <w:tcW w:w="474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326,077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241,437</w:t>
            </w:r>
          </w:p>
        </w:tc>
      </w:tr>
      <w:tr>
        <w:trPr>
          <w:trHeight w:val="196"/>
        </w:trPr>
        <w:tc>
          <w:tcPr>
            <w:tcW w:w="4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163,600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148,384</w:t>
            </w:r>
          </w:p>
        </w:tc>
      </w:tr>
      <w:tr>
        <w:trPr>
          <w:trHeight w:val="196"/>
        </w:trPr>
        <w:tc>
          <w:tcPr>
            <w:tcW w:w="4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r>
      <w:tr>
        <w:trPr>
          <w:trHeight w:val="196"/>
        </w:trPr>
        <w:tc>
          <w:tcPr>
            <w:tcW w:w="4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 net</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w:t>
            </w:r>
          </w:p>
        </w:tc>
      </w:tr>
      <w:tr>
        <w:trPr>
          <w:trHeight w:val="188"/>
        </w:trPr>
        <w:tc>
          <w:tcPr>
            <w:tcW w:w="474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162,825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92,705</w:t>
            </w:r>
          </w:p>
        </w:tc>
      </w:tr>
      <w:tr>
        <w:trPr>
          <w:trHeight w:val="196"/>
        </w:trPr>
        <w:tc>
          <w:tcPr>
            <w:tcW w:w="4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55,715</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55,780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31,507</w:t>
            </w:r>
          </w:p>
        </w:tc>
      </w:tr>
      <w:tr>
        <w:trPr>
          <w:trHeight w:val="188"/>
        </w:trPr>
        <w:tc>
          <w:tcPr>
            <w:tcW w:w="474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107,045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61,198</w:t>
            </w:r>
          </w:p>
        </w:tc>
      </w:tr>
      <w:tr>
        <w:trPr>
          <w:trHeight w:val="196"/>
        </w:trPr>
        <w:tc>
          <w:tcPr>
            <w:tcW w:w="4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Less preferred dividends and accretion</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w:t>
            </w:r>
          </w:p>
        </w:tc>
      </w:tr>
      <w:tr>
        <w:trPr>
          <w:trHeight w:val="188"/>
        </w:trPr>
        <w:tc>
          <w:tcPr>
            <w:tcW w:w="474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Earnings available to common shareholders</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107,045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60,960</w:t>
            </w:r>
          </w:p>
        </w:tc>
      </w:tr>
      <w:tr>
        <w:trPr>
          <w:trHeight w:val="173"/>
        </w:trPr>
        <w:tc>
          <w:tcPr>
            <w:tcW w:w="474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4740" w:type="dxa"/>
            <w:vAlign w:val="bottom"/>
          </w:tcPr>
          <w:p>
            <w:pPr>
              <w:ind w:left="140"/>
              <w:spacing w:after="0"/>
              <w:rPr>
                <w:sz w:val="20"/>
                <w:szCs w:val="20"/>
                <w:color w:val="auto"/>
              </w:rPr>
            </w:pPr>
            <w:r>
              <w:rPr>
                <w:rFonts w:ascii="Arial" w:cs="Arial" w:eastAsia="Arial" w:hAnsi="Arial"/>
                <w:sz w:val="16"/>
                <w:szCs w:val="16"/>
                <w:color w:val="auto"/>
              </w:rPr>
              <w:t>Basic</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3.21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2.30</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1.31</w:t>
            </w:r>
          </w:p>
        </w:tc>
      </w:tr>
      <w:tr>
        <w:trPr>
          <w:trHeight w:val="20"/>
        </w:trPr>
        <w:tc>
          <w:tcPr>
            <w:tcW w:w="4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4740" w:type="dxa"/>
            <w:vAlign w:val="bottom"/>
            <w:shd w:val="clear" w:color="auto" w:fill="CCEEFF"/>
          </w:tcPr>
          <w:p>
            <w:pPr>
              <w:ind w:left="140"/>
              <w:spacing w:after="0" w:line="173" w:lineRule="exact"/>
              <w:rPr>
                <w:sz w:val="20"/>
                <w:szCs w:val="20"/>
                <w:color w:val="auto"/>
              </w:rPr>
            </w:pPr>
            <w:r>
              <w:rPr>
                <w:rFonts w:ascii="Arial" w:cs="Arial" w:eastAsia="Arial" w:hAnsi="Arial"/>
                <w:sz w:val="16"/>
                <w:szCs w:val="16"/>
                <w:color w:val="auto"/>
              </w:rPr>
              <w:t>Diluted</w:t>
            </w:r>
          </w:p>
        </w:tc>
        <w:tc>
          <w:tcPr>
            <w:tcW w:w="1940" w:type="dxa"/>
            <w:vAlign w:val="bottom"/>
            <w:gridSpan w:val="2"/>
            <w:shd w:val="clear" w:color="auto" w:fill="CCEEFF"/>
          </w:tcPr>
          <w:p>
            <w:pPr>
              <w:jc w:val="right"/>
              <w:ind w:right="180"/>
              <w:spacing w:after="0" w:line="173" w:lineRule="exact"/>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line="173" w:lineRule="exact"/>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2.29</w:t>
            </w:r>
          </w:p>
        </w:tc>
        <w:tc>
          <w:tcPr>
            <w:tcW w:w="340" w:type="dxa"/>
            <w:vAlign w:val="bottom"/>
            <w:gridSpan w:val="2"/>
            <w:shd w:val="clear" w:color="auto" w:fill="CCEEFF"/>
          </w:tcPr>
          <w:p>
            <w:pPr>
              <w:jc w:val="right"/>
              <w:ind w:right="180"/>
              <w:spacing w:after="0" w:line="17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1.31</w:t>
            </w:r>
          </w:p>
        </w:tc>
      </w:tr>
      <w:tr>
        <w:trPr>
          <w:trHeight w:val="173"/>
        </w:trPr>
        <w:tc>
          <w:tcPr>
            <w:tcW w:w="474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9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4740" w:type="dxa"/>
            <w:vAlign w:val="bottom"/>
          </w:tcPr>
          <w:p>
            <w:pPr>
              <w:ind w:left="140"/>
              <w:spacing w:after="0"/>
              <w:rPr>
                <w:sz w:val="20"/>
                <w:szCs w:val="20"/>
                <w:color w:val="auto"/>
              </w:rPr>
            </w:pPr>
            <w:r>
              <w:rPr>
                <w:rFonts w:ascii="Arial" w:cs="Arial" w:eastAsia="Arial" w:hAnsi="Arial"/>
                <w:sz w:val="16"/>
                <w:szCs w:val="16"/>
                <w:color w:val="auto"/>
              </w:rPr>
              <w:t>Basic</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46,598</w:t>
            </w:r>
          </w:p>
        </w:tc>
        <w:tc>
          <w:tcPr>
            <w:tcW w:w="1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46,564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46,452</w:t>
            </w:r>
          </w:p>
        </w:tc>
      </w:tr>
      <w:tr>
        <w:trPr>
          <w:trHeight w:val="20"/>
        </w:trPr>
        <w:tc>
          <w:tcPr>
            <w:tcW w:w="4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4740" w:type="dxa"/>
            <w:vAlign w:val="bottom"/>
            <w:tcBorders>
              <w:bottom w:val="single" w:sz="8" w:color="CCEEFF"/>
            </w:tcBorders>
            <w:shd w:val="clear" w:color="auto" w:fill="CCEEFF"/>
          </w:tcPr>
          <w:p>
            <w:pPr>
              <w:ind w:left="140"/>
              <w:spacing w:after="0" w:line="173" w:lineRule="exact"/>
              <w:rPr>
                <w:sz w:val="20"/>
                <w:szCs w:val="20"/>
                <w:color w:val="auto"/>
              </w:rPr>
            </w:pPr>
            <w:r>
              <w:rPr>
                <w:rFonts w:ascii="Arial" w:cs="Arial" w:eastAsia="Arial" w:hAnsi="Arial"/>
                <w:sz w:val="16"/>
                <w:szCs w:val="16"/>
                <w:color w:val="auto"/>
              </w:rPr>
              <w:t>Diluted</w:t>
            </w:r>
          </w:p>
        </w:tc>
        <w:tc>
          <w:tcPr>
            <w:tcW w:w="16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46,921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46,770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46,671</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6" w:name="page27"/>
    <w:bookmarkEnd w:id="2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2593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Fiscal Year Ended</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7"/>
        </w:trPr>
        <w:tc>
          <w:tcPr>
            <w:tcW w:w="4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ind w:right="680"/>
              <w:spacing w:after="0" w:line="177" w:lineRule="exact"/>
              <w:rPr>
                <w:sz w:val="20"/>
                <w:szCs w:val="20"/>
                <w:color w:val="auto"/>
              </w:rPr>
            </w:pPr>
            <w:r>
              <w:rPr>
                <w:rFonts w:ascii="Arial" w:cs="Arial" w:eastAsia="Arial" w:hAnsi="Arial"/>
                <w:sz w:val="16"/>
                <w:szCs w:val="16"/>
                <w:color w:val="auto"/>
              </w:rPr>
              <w:t>April 28,</w:t>
            </w: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7" w:lineRule="exact"/>
              <w:rPr>
                <w:sz w:val="20"/>
                <w:szCs w:val="20"/>
                <w:color w:val="auto"/>
              </w:rPr>
            </w:pPr>
            <w:r>
              <w:rPr>
                <w:rFonts w:ascii="Arial" w:cs="Arial" w:eastAsia="Arial" w:hAnsi="Arial"/>
                <w:sz w:val="16"/>
                <w:szCs w:val="16"/>
                <w:color w:val="auto"/>
              </w:rPr>
              <w:t>April 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178"/>
              <w:spacing w:after="0" w:line="177" w:lineRule="exact"/>
              <w:rPr>
                <w:sz w:val="20"/>
                <w:szCs w:val="20"/>
                <w:color w:val="auto"/>
              </w:rPr>
            </w:pPr>
            <w:r>
              <w:rPr>
                <w:rFonts w:ascii="Arial" w:cs="Arial" w:eastAsia="Arial" w:hAnsi="Arial"/>
                <w:sz w:val="16"/>
                <w:szCs w:val="16"/>
                <w:color w:val="auto"/>
              </w:rPr>
              <w:t>April 30,</w:t>
            </w:r>
          </w:p>
        </w:tc>
        <w:tc>
          <w:tcPr>
            <w:tcW w:w="140" w:type="dxa"/>
            <w:vAlign w:val="bottom"/>
          </w:tcPr>
          <w:p>
            <w:pPr>
              <w:spacing w:after="0"/>
              <w:rPr>
                <w:sz w:val="15"/>
                <w:szCs w:val="15"/>
                <w:color w:val="auto"/>
              </w:rPr>
            </w:pPr>
          </w:p>
        </w:tc>
      </w:tr>
      <w:tr>
        <w:trPr>
          <w:trHeight w:val="208"/>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8"/>
                <w:szCs w:val="18"/>
                <w:color w:val="auto"/>
              </w:rPr>
            </w:pPr>
          </w:p>
        </w:tc>
      </w:tr>
      <w:tr>
        <w:trPr>
          <w:trHeight w:val="189"/>
        </w:trPr>
        <w:tc>
          <w:tcPr>
            <w:tcW w:w="4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149,774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107,045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61,198</w:t>
            </w:r>
          </w:p>
        </w:tc>
      </w:tr>
      <w:tr>
        <w:trPr>
          <w:trHeight w:val="196"/>
        </w:trPr>
        <w:tc>
          <w:tcPr>
            <w:tcW w:w="4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net of tax:</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flow hedges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783</w:t>
            </w:r>
          </w:p>
        </w:tc>
      </w:tr>
      <w:tr>
        <w:trPr>
          <w:trHeight w:val="196"/>
        </w:trPr>
        <w:tc>
          <w:tcPr>
            <w:tcW w:w="4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r>
      <w:tr>
        <w:trPr>
          <w:trHeight w:val="188"/>
        </w:trPr>
        <w:tc>
          <w:tcPr>
            <w:tcW w:w="49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6"/>
        </w:trPr>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717</w:t>
            </w:r>
          </w:p>
        </w:tc>
      </w:tr>
      <w:tr>
        <w:trPr>
          <w:trHeight w:val="188"/>
        </w:trPr>
        <w:tc>
          <w:tcPr>
            <w:tcW w:w="49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108,248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61,915</w:t>
            </w:r>
          </w:p>
        </w:tc>
      </w:tr>
      <w:tr>
        <w:trPr>
          <w:trHeight w:val="392"/>
        </w:trPr>
        <w:tc>
          <w:tcPr>
            <w:tcW w:w="4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3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92"/>
        </w:trPr>
        <w:tc>
          <w:tcPr>
            <w:tcW w:w="4900" w:type="dxa"/>
            <w:vAlign w:val="bottom"/>
          </w:tcPr>
          <w:p>
            <w:pPr>
              <w:spacing w:after="0"/>
              <w:rPr>
                <w:sz w:val="24"/>
                <w:szCs w:val="24"/>
                <w:color w:val="auto"/>
              </w:rPr>
            </w:pPr>
          </w:p>
        </w:tc>
        <w:tc>
          <w:tcPr>
            <w:tcW w:w="1380" w:type="dxa"/>
            <w:vAlign w:val="bottom"/>
          </w:tcPr>
          <w:p>
            <w:pPr>
              <w:jc w:val="right"/>
              <w:ind w:right="398"/>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3"/>
        </w:trPr>
        <w:tc>
          <w:tcPr>
            <w:tcW w:w="49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27" w:name="page28"/>
    <w:bookmarkEnd w:id="2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2593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Fiscal Year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5"/>
          </w:tcPr>
          <w:p>
            <w:pPr>
              <w:jc w:val="right"/>
              <w:ind w:right="1020"/>
              <w:spacing w:after="0"/>
              <w:rPr>
                <w:sz w:val="20"/>
                <w:szCs w:val="20"/>
                <w:color w:val="auto"/>
              </w:rPr>
            </w:pPr>
            <w:r>
              <w:rPr>
                <w:rFonts w:ascii="Arial" w:cs="Arial" w:eastAsia="Arial" w:hAnsi="Arial"/>
                <w:sz w:val="16"/>
                <w:szCs w:val="16"/>
                <w:color w:val="auto"/>
              </w:rPr>
              <w:t>April 28, 2018</w:t>
            </w:r>
          </w:p>
        </w:tc>
        <w:tc>
          <w:tcPr>
            <w:tcW w:w="2720" w:type="dxa"/>
            <w:vAlign w:val="bottom"/>
            <w:tcBorders>
              <w:top w:val="single" w:sz="8" w:color="auto"/>
            </w:tcBorders>
            <w:gridSpan w:val="5"/>
          </w:tcPr>
          <w:p>
            <w:pPr>
              <w:jc w:val="right"/>
              <w:ind w:right="980"/>
              <w:spacing w:after="0"/>
              <w:rPr>
                <w:sz w:val="20"/>
                <w:szCs w:val="20"/>
                <w:color w:val="auto"/>
              </w:rPr>
            </w:pPr>
            <w:r>
              <w:rPr>
                <w:rFonts w:ascii="Arial" w:cs="Arial" w:eastAsia="Arial" w:hAnsi="Arial"/>
                <w:sz w:val="16"/>
                <w:szCs w:val="16"/>
                <w:color w:val="auto"/>
              </w:rPr>
              <w:t>April 29, 2017</w:t>
            </w:r>
          </w:p>
        </w:tc>
        <w:tc>
          <w:tcPr>
            <w:tcW w:w="2500" w:type="dxa"/>
            <w:vAlign w:val="bottom"/>
            <w:tcBorders>
              <w:top w:val="single" w:sz="8" w:color="auto"/>
            </w:tcBorders>
            <w:gridSpan w:val="4"/>
          </w:tcPr>
          <w:p>
            <w:pPr>
              <w:jc w:val="right"/>
              <w:ind w:right="698"/>
              <w:spacing w:after="0"/>
              <w:rPr>
                <w:sz w:val="20"/>
                <w:szCs w:val="20"/>
                <w:color w:val="auto"/>
              </w:rPr>
            </w:pPr>
            <w:r>
              <w:rPr>
                <w:rFonts w:ascii="Arial" w:cs="Arial" w:eastAsia="Arial" w:hAnsi="Arial"/>
                <w:sz w:val="16"/>
                <w:szCs w:val="16"/>
                <w:color w:val="auto"/>
              </w:rPr>
              <w:t>April 30, 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6"/>
                <w:szCs w:val="16"/>
                <w:color w:val="auto"/>
                <w:w w:val="94"/>
              </w:rPr>
              <w:t>Shares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6"/>
                <w:szCs w:val="16"/>
                <w:color w:val="auto"/>
              </w:rPr>
              <w:t>Shares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6"/>
                <w:szCs w:val="16"/>
                <w:color w:val="auto"/>
              </w:rPr>
              <w:t>Shares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Series C Preferred Stock</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6"/>
                <w:szCs w:val="16"/>
                <w:color w:val="auto"/>
              </w:rPr>
              <w:t>Beginning and end of year</w:t>
            </w: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Series D Preferred Stock</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Beginning of year</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Series D preferred redeemed</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End of year</w:t>
            </w:r>
          </w:p>
        </w:tc>
        <w:tc>
          <w:tcPr>
            <w:tcW w:w="3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Beginning of year</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50,616</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506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50,589</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506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50,418</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End of year</w:t>
            </w:r>
          </w:p>
        </w:tc>
        <w:tc>
          <w:tcPr>
            <w:tcW w:w="3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50,651</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507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50,616</w:t>
            </w: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506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50,589</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Additional Paid-In Capital</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Beginning of year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35,638</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34,570</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37,759</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D preferred redeemed</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(5,791)</w:t>
            </w: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Stock options exercised</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559</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365</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208</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Stock-based tax benefits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495</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 of year</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36,358</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35,638</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34,570</w:t>
            </w:r>
          </w:p>
        </w:tc>
        <w:tc>
          <w:tcPr>
            <w:tcW w:w="0" w:type="dxa"/>
            <w:vAlign w:val="bottom"/>
          </w:tcPr>
          <w:p>
            <w:pPr>
              <w:spacing w:after="0"/>
              <w:rPr>
                <w:sz w:val="1"/>
                <w:szCs w:val="1"/>
                <w:color w:val="auto"/>
              </w:rPr>
            </w:pPr>
          </w:p>
        </w:tc>
      </w:tr>
      <w:tr>
        <w:trPr>
          <w:trHeight w:val="188"/>
        </w:trPr>
        <w:tc>
          <w:tcPr>
            <w:tcW w:w="362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8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227,928</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129,773</w:t>
            </w: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149,774</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107,045</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61,198</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cash dividend</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(69,878)</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(69,850)</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Preferred stock dividends &amp; accretion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 of year</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307,824</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227,928</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190,733</w:t>
            </w:r>
          </w:p>
        </w:tc>
        <w:tc>
          <w:tcPr>
            <w:tcW w:w="0" w:type="dxa"/>
            <w:vAlign w:val="bottom"/>
          </w:tcPr>
          <w:p>
            <w:pPr>
              <w:spacing w:after="0"/>
              <w:rPr>
                <w:sz w:val="1"/>
                <w:szCs w:val="1"/>
                <w:color w:val="auto"/>
              </w:rPr>
            </w:pPr>
          </w:p>
        </w:tc>
      </w:tr>
      <w:tr>
        <w:trPr>
          <w:trHeight w:val="188"/>
        </w:trPr>
        <w:tc>
          <w:tcPr>
            <w:tcW w:w="362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w w:val="93"/>
              </w:rPr>
              <w:t>Accumulated Other Comprehensive Income (Loss)</w:t>
            </w:r>
          </w:p>
        </w:tc>
        <w:tc>
          <w:tcPr>
            <w:tcW w:w="8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(604)</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(1,807)</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Cash flow hedges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5,227</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1,110</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gridSpan w:val="2"/>
          </w:tcPr>
          <w:p>
            <w:pPr>
              <w:spacing w:after="0"/>
              <w:rPr>
                <w:sz w:val="20"/>
                <w:szCs w:val="20"/>
                <w:color w:val="auto"/>
              </w:rPr>
            </w:pPr>
            <w:r>
              <w:rPr>
                <w:rFonts w:ascii="Arial" w:cs="Arial" w:eastAsia="Arial" w:hAnsi="Arial"/>
                <w:sz w:val="16"/>
                <w:szCs w:val="16"/>
                <w:color w:val="auto"/>
              </w:rPr>
              <w:t>End of year</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4,601</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(604)</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188"/>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Treasury Stock - Series C Preferred</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6"/>
                <w:szCs w:val="16"/>
                <w:color w:val="auto"/>
              </w:rPr>
              <w:t>Beginning and end of year</w:t>
            </w: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(5,100)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(5,100)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Treasury Stock - Common</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color w:val="auto"/>
              </w:rPr>
              <w:t>Beginning and end of year</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4,033</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(12,900)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4,033</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(12,900)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4,033</w:t>
            </w: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(12,900)</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Total Shareholders' Equity</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331,440</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245,618</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206,152</w:t>
            </w:r>
          </w:p>
        </w:tc>
        <w:tc>
          <w:tcPr>
            <w:tcW w:w="0" w:type="dxa"/>
            <w:vAlign w:val="bottom"/>
          </w:tcPr>
          <w:p>
            <w:pPr>
              <w:spacing w:after="0"/>
              <w:rPr>
                <w:sz w:val="1"/>
                <w:szCs w:val="1"/>
                <w:color w:val="auto"/>
              </w:rPr>
            </w:pPr>
          </w:p>
        </w:tc>
      </w:tr>
      <w:tr>
        <w:trPr>
          <w:trHeight w:val="20"/>
        </w:trPr>
        <w:tc>
          <w:tcPr>
            <w:tcW w:w="4740" w:type="dxa"/>
            <w:vAlign w:val="bottom"/>
            <w:gridSpan w:val="4"/>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7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28" w:name="page29"/>
    <w:bookmarkEnd w:id="2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2593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0"/>
              </w:rPr>
              <w:t>Fiscal Year Ended</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7"/>
        </w:trPr>
        <w:tc>
          <w:tcPr>
            <w:tcW w:w="5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Arial" w:cs="Arial" w:eastAsia="Arial" w:hAnsi="Arial"/>
                <w:sz w:val="16"/>
                <w:szCs w:val="16"/>
                <w:color w:val="auto"/>
              </w:rPr>
              <w:t>April 28,</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jc w:val="center"/>
              <w:ind w:right="460"/>
              <w:spacing w:after="0" w:line="177" w:lineRule="exact"/>
              <w:rPr>
                <w:sz w:val="20"/>
                <w:szCs w:val="20"/>
                <w:color w:val="auto"/>
              </w:rPr>
            </w:pPr>
            <w:r>
              <w:rPr>
                <w:rFonts w:ascii="Arial" w:cs="Arial" w:eastAsia="Arial" w:hAnsi="Arial"/>
                <w:sz w:val="16"/>
                <w:szCs w:val="16"/>
                <w:color w:val="auto"/>
                <w:w w:val="98"/>
              </w:rPr>
              <w:t>April 29,</w:t>
            </w:r>
          </w:p>
        </w:tc>
        <w:tc>
          <w:tcPr>
            <w:tcW w:w="340" w:type="dxa"/>
            <w:vAlign w:val="bottom"/>
          </w:tcPr>
          <w:p>
            <w:pPr>
              <w:spacing w:after="0"/>
              <w:rPr>
                <w:sz w:val="15"/>
                <w:szCs w:val="15"/>
                <w:color w:val="auto"/>
              </w:rPr>
            </w:pPr>
          </w:p>
        </w:tc>
        <w:tc>
          <w:tcPr>
            <w:tcW w:w="1460" w:type="dxa"/>
            <w:vAlign w:val="bottom"/>
          </w:tcPr>
          <w:p>
            <w:pPr>
              <w:jc w:val="right"/>
              <w:ind w:right="518"/>
              <w:spacing w:after="0" w:line="177" w:lineRule="exact"/>
              <w:rPr>
                <w:sz w:val="20"/>
                <w:szCs w:val="20"/>
                <w:color w:val="auto"/>
              </w:rPr>
            </w:pPr>
            <w:r>
              <w:rPr>
                <w:rFonts w:ascii="Arial" w:cs="Arial" w:eastAsia="Arial" w:hAnsi="Arial"/>
                <w:sz w:val="16"/>
                <w:szCs w:val="16"/>
                <w:color w:val="auto"/>
              </w:rPr>
              <w:t>April 30,</w:t>
            </w:r>
          </w:p>
        </w:tc>
        <w:tc>
          <w:tcPr>
            <w:tcW w:w="140" w:type="dxa"/>
            <w:vAlign w:val="bottom"/>
          </w:tcPr>
          <w:p>
            <w:pPr>
              <w:spacing w:after="0"/>
              <w:rPr>
                <w:sz w:val="15"/>
                <w:szCs w:val="15"/>
                <w:color w:val="auto"/>
              </w:rPr>
            </w:pPr>
          </w:p>
        </w:tc>
      </w:tr>
      <w:tr>
        <w:trPr>
          <w:trHeight w:val="208"/>
        </w:trPr>
        <w:tc>
          <w:tcPr>
            <w:tcW w:w="5360" w:type="dxa"/>
            <w:vAlign w:val="bottom"/>
          </w:tcPr>
          <w:p>
            <w:pPr>
              <w:spacing w:after="0"/>
              <w:rPr>
                <w:sz w:val="18"/>
                <w:szCs w:val="18"/>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color w:val="auto"/>
                <w:w w:val="95"/>
              </w:rPr>
              <w:t>2017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8"/>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8"/>
                <w:szCs w:val="18"/>
                <w:color w:val="auto"/>
              </w:rPr>
            </w:pP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149,774</w:t>
            </w:r>
          </w:p>
        </w:tc>
        <w:tc>
          <w:tcPr>
            <w:tcW w:w="2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107,045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61,198</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8"/>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activities:</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6"/>
        </w:trPr>
        <w:tc>
          <w:tcPr>
            <w:tcW w:w="536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13,226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12,834</w:t>
            </w:r>
          </w:p>
        </w:tc>
        <w:tc>
          <w:tcPr>
            <w:tcW w:w="3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12,056</w:t>
            </w:r>
          </w:p>
        </w:tc>
      </w:tr>
      <w:tr>
        <w:trPr>
          <w:trHeight w:val="196"/>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 provision (benefit)</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1,358</w:t>
            </w: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(1,299)</w:t>
            </w:r>
          </w:p>
        </w:tc>
      </w:tr>
      <w:tr>
        <w:trPr>
          <w:trHeight w:val="196"/>
        </w:trPr>
        <w:tc>
          <w:tcPr>
            <w:tcW w:w="5360" w:type="dxa"/>
            <w:vAlign w:val="bottom"/>
          </w:tcPr>
          <w:p>
            <w:pPr>
              <w:ind w:left="300"/>
              <w:spacing w:after="0"/>
              <w:rPr>
                <w:sz w:val="20"/>
                <w:szCs w:val="20"/>
                <w:color w:val="auto"/>
              </w:rPr>
            </w:pPr>
            <w:r>
              <w:rPr>
                <w:rFonts w:ascii="Arial" w:cs="Arial" w:eastAsia="Arial" w:hAnsi="Arial"/>
                <w:sz w:val="16"/>
                <w:szCs w:val="16"/>
                <w:color w:val="auto"/>
              </w:rPr>
              <w:t>Loss on disposal of property, net</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129</w:t>
            </w:r>
          </w:p>
        </w:tc>
      </w:tr>
      <w:tr>
        <w:trPr>
          <w:trHeight w:val="196"/>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208</w:t>
            </w: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228</w:t>
            </w:r>
          </w:p>
        </w:tc>
      </w:tr>
      <w:tr>
        <w:trPr>
          <w:trHeight w:val="196"/>
        </w:trPr>
        <w:tc>
          <w:tcPr>
            <w:tcW w:w="5360" w:type="dxa"/>
            <w:vAlign w:val="bottom"/>
          </w:tcPr>
          <w:p>
            <w:pPr>
              <w:ind w:left="300"/>
              <w:spacing w:after="0"/>
              <w:rPr>
                <w:sz w:val="20"/>
                <w:szCs w:val="20"/>
                <w:color w:val="auto"/>
              </w:rPr>
            </w:pPr>
            <w:r>
              <w:rPr>
                <w:rFonts w:ascii="Arial" w:cs="Arial" w:eastAsia="Arial" w:hAnsi="Arial"/>
                <w:sz w:val="16"/>
                <w:szCs w:val="16"/>
                <w:color w:val="auto"/>
              </w:rPr>
              <w:t>Stock-based tax benefits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495</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1,528</w:t>
            </w:r>
          </w:p>
        </w:tc>
        <w:tc>
          <w:tcPr>
            <w:tcW w:w="140" w:type="dxa"/>
            <w:vAlign w:val="bottom"/>
          </w:tcPr>
          <w:p>
            <w:pPr>
              <w:spacing w:after="0"/>
              <w:rPr>
                <w:sz w:val="17"/>
                <w:szCs w:val="17"/>
                <w:color w:val="auto"/>
              </w:rPr>
            </w:pPr>
          </w:p>
        </w:tc>
      </w:tr>
      <w:tr>
        <w:trPr>
          <w:trHeight w:val="196"/>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Changes in assets and liabilities: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5360" w:type="dxa"/>
            <w:vAlign w:val="bottom"/>
          </w:tcPr>
          <w:p>
            <w:pPr>
              <w:ind w:left="580"/>
              <w:spacing w:after="0"/>
              <w:rPr>
                <w:sz w:val="20"/>
                <w:szCs w:val="20"/>
                <w:color w:val="auto"/>
              </w:rPr>
            </w:pPr>
            <w:r>
              <w:rPr>
                <w:rFonts w:ascii="Arial" w:cs="Arial" w:eastAsia="Arial" w:hAnsi="Arial"/>
                <w:sz w:val="16"/>
                <w:szCs w:val="16"/>
                <w:color w:val="auto"/>
              </w:rPr>
              <w:t>Trade receivables</w:t>
            </w:r>
          </w:p>
        </w:tc>
        <w:tc>
          <w:tcPr>
            <w:tcW w:w="12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(13,041)</w:t>
            </w:r>
          </w:p>
        </w:tc>
        <w:tc>
          <w:tcPr>
            <w:tcW w:w="2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(10,273)</w:t>
            </w:r>
          </w:p>
        </w:tc>
        <w:tc>
          <w:tcPr>
            <w:tcW w:w="34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(1,095)</w:t>
            </w:r>
          </w:p>
        </w:tc>
      </w:tr>
      <w:tr>
        <w:trPr>
          <w:trHeight w:val="196"/>
        </w:trPr>
        <w:tc>
          <w:tcPr>
            <w:tcW w:w="5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Inventories</w:t>
            </w:r>
          </w:p>
        </w:tc>
        <w:tc>
          <w:tcPr>
            <w:tcW w:w="1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(7,565)</w:t>
            </w: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(5,433)</w:t>
            </w: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(4,998)</w:t>
            </w:r>
          </w:p>
        </w:tc>
      </w:tr>
      <w:tr>
        <w:trPr>
          <w:trHeight w:val="196"/>
        </w:trPr>
        <w:tc>
          <w:tcPr>
            <w:tcW w:w="5360" w:type="dxa"/>
            <w:vAlign w:val="bottom"/>
          </w:tcPr>
          <w:p>
            <w:pPr>
              <w:ind w:left="580"/>
              <w:spacing w:after="0"/>
              <w:rPr>
                <w:sz w:val="20"/>
                <w:szCs w:val="20"/>
                <w:color w:val="auto"/>
              </w:rPr>
            </w:pPr>
            <w:r>
              <w:rPr>
                <w:rFonts w:ascii="Arial" w:cs="Arial" w:eastAsia="Arial" w:hAnsi="Arial"/>
                <w:sz w:val="16"/>
                <w:szCs w:val="16"/>
                <w:color w:val="auto"/>
              </w:rPr>
              <w:t>Prepaid and other assets</w:t>
            </w:r>
          </w:p>
        </w:tc>
        <w:tc>
          <w:tcPr>
            <w:tcW w:w="12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(5,437)</w:t>
            </w:r>
          </w:p>
        </w:tc>
        <w:tc>
          <w:tcPr>
            <w:tcW w:w="2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(2,205)</w:t>
            </w:r>
          </w:p>
        </w:tc>
        <w:tc>
          <w:tcPr>
            <w:tcW w:w="34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(485)</w:t>
            </w:r>
          </w:p>
        </w:tc>
      </w:tr>
      <w:tr>
        <w:trPr>
          <w:trHeight w:val="196"/>
        </w:trPr>
        <w:tc>
          <w:tcPr>
            <w:tcW w:w="5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payable</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8,709</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w:t>
            </w:r>
          </w:p>
        </w:tc>
        <w:tc>
          <w:tcPr>
            <w:tcW w:w="140" w:type="dxa"/>
            <w:vAlign w:val="bottom"/>
            <w:shd w:val="clear" w:color="auto" w:fill="CCEEFF"/>
          </w:tcPr>
          <w:p>
            <w:pPr>
              <w:spacing w:after="0"/>
              <w:rPr>
                <w:sz w:val="17"/>
                <w:szCs w:val="17"/>
                <w:color w:val="auto"/>
              </w:rPr>
            </w:pPr>
          </w:p>
        </w:tc>
      </w:tr>
      <w:tr>
        <w:trPr>
          <w:trHeight w:val="196"/>
        </w:trPr>
        <w:tc>
          <w:tcPr>
            <w:tcW w:w="5360" w:type="dxa"/>
            <w:vAlign w:val="bottom"/>
          </w:tcPr>
          <w:p>
            <w:pPr>
              <w:ind w:left="580"/>
              <w:spacing w:after="0"/>
              <w:rPr>
                <w:sz w:val="20"/>
                <w:szCs w:val="20"/>
                <w:color w:val="auto"/>
              </w:rPr>
            </w:pPr>
            <w:r>
              <w:rPr>
                <w:rFonts w:ascii="Arial" w:cs="Arial" w:eastAsia="Arial" w:hAnsi="Arial"/>
                <w:sz w:val="16"/>
                <w:szCs w:val="16"/>
                <w:color w:val="auto"/>
              </w:rPr>
              <w:t>Accrued and other liabilities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1,457</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8,726</w:t>
            </w:r>
          </w:p>
        </w:tc>
        <w:tc>
          <w:tcPr>
            <w:tcW w:w="14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8"/>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154,721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114,267</w:t>
            </w:r>
          </w:p>
        </w:tc>
        <w:tc>
          <w:tcPr>
            <w:tcW w:w="3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80,483</w:t>
            </w:r>
          </w:p>
        </w:tc>
      </w:tr>
      <w:tr>
        <w:trPr>
          <w:trHeight w:val="188"/>
        </w:trPr>
        <w:tc>
          <w:tcPr>
            <w:tcW w:w="5360" w:type="dxa"/>
            <w:vAlign w:val="bottom"/>
            <w:tcBorders>
              <w:top w:val="single" w:sz="8" w:color="CCEEFF"/>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6"/>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Additions to property, plant and equipment</w:t>
            </w:r>
          </w:p>
        </w:tc>
        <w:tc>
          <w:tcPr>
            <w:tcW w:w="12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(31,974)</w:t>
            </w:r>
          </w:p>
        </w:tc>
        <w:tc>
          <w:tcPr>
            <w:tcW w:w="2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(14,015)</w:t>
            </w:r>
          </w:p>
        </w:tc>
        <w:tc>
          <w:tcPr>
            <w:tcW w:w="34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(12,140)</w:t>
            </w:r>
          </w:p>
        </w:tc>
      </w:tr>
      <w:tr>
        <w:trPr>
          <w:trHeight w:val="196"/>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sale of property, plant and equipment</w:t>
            </w:r>
          </w:p>
        </w:tc>
        <w:tc>
          <w:tcPr>
            <w:tcW w:w="1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(31,911)</w:t>
            </w:r>
          </w:p>
        </w:tc>
        <w:tc>
          <w:tcPr>
            <w:tcW w:w="200" w:type="dxa"/>
            <w:vAlign w:val="bottom"/>
          </w:tcPr>
          <w:p>
            <w:pPr>
              <w:spacing w:after="0"/>
              <w:rPr>
                <w:sz w:val="16"/>
                <w:szCs w:val="16"/>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(13,987)</w:t>
            </w:r>
          </w:p>
        </w:tc>
        <w:tc>
          <w:tcPr>
            <w:tcW w:w="34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(12,024)</w:t>
            </w:r>
          </w:p>
        </w:tc>
      </w:tr>
      <w:tr>
        <w:trPr>
          <w:trHeight w:val="188"/>
        </w:trPr>
        <w:tc>
          <w:tcPr>
            <w:tcW w:w="536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on common stock</w:t>
            </w:r>
          </w:p>
        </w:tc>
        <w:tc>
          <w:tcPr>
            <w:tcW w:w="1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(69,878)</w:t>
            </w: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(69,850)</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Dividends paid on preferred stock</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(186)</w:t>
            </w:r>
          </w:p>
        </w:tc>
      </w:tr>
      <w:tr>
        <w:trPr>
          <w:trHeight w:val="196"/>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Repayments under credit facilities, net</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(10,000)</w:t>
            </w: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Redemption of preferred stock</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(6,000)</w:t>
            </w:r>
          </w:p>
        </w:tc>
      </w:tr>
      <w:tr>
        <w:trPr>
          <w:trHeight w:val="196"/>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options exercised</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365</w:t>
            </w: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848</w:t>
            </w:r>
          </w:p>
        </w:tc>
      </w:tr>
      <w:tr>
        <w:trPr>
          <w:trHeight w:val="20"/>
        </w:trPr>
        <w:tc>
          <w:tcPr>
            <w:tcW w:w="53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12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(69,318)</w:t>
            </w:r>
          </w:p>
        </w:tc>
        <w:tc>
          <w:tcPr>
            <w:tcW w:w="200" w:type="dxa"/>
            <w:vAlign w:val="bottom"/>
          </w:tcPr>
          <w:p>
            <w:pPr>
              <w:spacing w:after="0"/>
              <w:rPr>
                <w:sz w:val="16"/>
                <w:szCs w:val="16"/>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(69,485)</w:t>
            </w:r>
          </w:p>
        </w:tc>
        <w:tc>
          <w:tcPr>
            <w:tcW w:w="34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(15,338)</w:t>
            </w:r>
          </w:p>
        </w:tc>
      </w:tr>
      <w:tr>
        <w:trPr>
          <w:trHeight w:val="188"/>
        </w:trPr>
        <w:tc>
          <w:tcPr>
            <w:tcW w:w="536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b w:val="1"/>
                <w:bCs w:val="1"/>
                <w:color w:val="auto"/>
              </w:rPr>
              <w:t>Net Increase in Cash and Equivalents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53,492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30,795</w:t>
            </w:r>
          </w:p>
        </w:tc>
        <w:tc>
          <w:tcPr>
            <w:tcW w:w="3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53,121</w:t>
            </w:r>
          </w:p>
        </w:tc>
      </w:tr>
      <w:tr>
        <w:trPr>
          <w:trHeight w:val="196"/>
        </w:trPr>
        <w:tc>
          <w:tcPr>
            <w:tcW w:w="5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b w:val="1"/>
                <w:bCs w:val="1"/>
                <w:color w:val="auto"/>
              </w:rPr>
              <w:t>Cash and Equivalents - Beginning of Year</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136,372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105,577</w:t>
            </w:r>
          </w:p>
        </w:tc>
        <w:tc>
          <w:tcPr>
            <w:tcW w:w="3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52,456</w:t>
            </w:r>
          </w:p>
        </w:tc>
      </w:tr>
      <w:tr>
        <w:trPr>
          <w:trHeight w:val="188"/>
        </w:trPr>
        <w:tc>
          <w:tcPr>
            <w:tcW w:w="536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b w:val="1"/>
                <w:bCs w:val="1"/>
                <w:color w:val="auto"/>
              </w:rPr>
              <w:t>Cash and Equivalents - End of Year</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189,864</w:t>
            </w:r>
          </w:p>
        </w:tc>
        <w:tc>
          <w:tcPr>
            <w:tcW w:w="2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136,372</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105,577</w:t>
            </w:r>
          </w:p>
        </w:tc>
        <w:tc>
          <w:tcPr>
            <w:tcW w:w="14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3"/>
        </w:trPr>
        <w:tc>
          <w:tcPr>
            <w:tcW w:w="5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b w:val="1"/>
                <w:bCs w:val="1"/>
                <w:color w:val="auto"/>
              </w:rPr>
              <w:t>Other Cash Flow Information:</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240" w:type="dxa"/>
            <w:vAlign w:val="bottom"/>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202</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5360" w:type="dxa"/>
            <w:vAlign w:val="bottom"/>
          </w:tcPr>
          <w:p>
            <w:pPr>
              <w:spacing w:after="0" w:line="173" w:lineRule="exact"/>
              <w:rPr>
                <w:sz w:val="20"/>
                <w:szCs w:val="20"/>
                <w:color w:val="auto"/>
              </w:rPr>
            </w:pPr>
            <w:r>
              <w:rPr>
                <w:rFonts w:ascii="Arial" w:cs="Arial" w:eastAsia="Arial" w:hAnsi="Arial"/>
                <w:sz w:val="16"/>
                <w:szCs w:val="16"/>
                <w:color w:val="auto"/>
              </w:rPr>
              <w:t>Income taxes paid</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56,737</w:t>
            </w:r>
          </w:p>
        </w:tc>
        <w:tc>
          <w:tcPr>
            <w:tcW w:w="26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80"/>
              <w:spacing w:after="0" w:line="173" w:lineRule="exact"/>
              <w:rPr>
                <w:sz w:val="20"/>
                <w:szCs w:val="20"/>
                <w:color w:val="auto"/>
              </w:rPr>
            </w:pPr>
            <w:r>
              <w:rPr>
                <w:rFonts w:ascii="Arial" w:cs="Arial" w:eastAsia="Arial" w:hAnsi="Arial"/>
                <w:sz w:val="16"/>
                <w:szCs w:val="16"/>
                <w:color w:val="auto"/>
              </w:rPr>
              <w:t>55,901</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29,473</w:t>
            </w:r>
          </w:p>
        </w:tc>
      </w:tr>
      <w:tr>
        <w:trPr>
          <w:trHeight w:val="20"/>
        </w:trPr>
        <w:tc>
          <w:tcPr>
            <w:tcW w:w="5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9" w:name="page30"/>
    <w:bookmarkEnd w:id="29"/>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NATIONAL BEVERAGE CORP. AND SUBSIDIARIES</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6" w:lineRule="exact"/>
        <w:rPr>
          <w:sz w:val="20"/>
          <w:szCs w:val="20"/>
          <w:color w:val="auto"/>
        </w:rPr>
      </w:pPr>
    </w:p>
    <w:p>
      <w:pPr>
        <w:jc w:val="both"/>
        <w:ind w:left="2"/>
        <w:spacing w:after="0" w:line="270" w:lineRule="auto"/>
        <w:rPr>
          <w:sz w:val="20"/>
          <w:szCs w:val="20"/>
          <w:color w:val="auto"/>
        </w:rPr>
      </w:pPr>
      <w:r>
        <w:rPr>
          <w:rFonts w:ascii="Arial" w:cs="Arial" w:eastAsia="Arial" w:hAnsi="Arial"/>
          <w:sz w:val="16"/>
          <w:szCs w:val="16"/>
          <w:color w:val="auto"/>
        </w:rPr>
        <w:t>National Beverage Corp. innovatively develops, produces, markets and sells a distinctive portfolio of sparkling waters, juices, energy drinks and carbonated soft drinks primarily in the United States and Canada. Incorporated in Delaware in 1985, National Beverage Corp. is a holding company for various operating subsidiaries. When used in this report, the terms “we,” “us,” “our,” “Company” and “National Beverage” mean National Beverage Corp. and its subsidiaries.</w:t>
      </w:r>
    </w:p>
    <w:p>
      <w:pPr>
        <w:spacing w:after="0" w:line="379" w:lineRule="exact"/>
        <w:rPr>
          <w:sz w:val="20"/>
          <w:szCs w:val="20"/>
          <w:color w:val="auto"/>
        </w:rPr>
      </w:pPr>
    </w:p>
    <w:p>
      <w:pPr>
        <w:ind w:left="442" w:hanging="442"/>
        <w:spacing w:after="0"/>
        <w:tabs>
          <w:tab w:leader="none" w:pos="44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3" w:lineRule="exact"/>
        <w:rPr>
          <w:sz w:val="20"/>
          <w:szCs w:val="20"/>
          <w:color w:val="auto"/>
        </w:rPr>
      </w:pPr>
    </w:p>
    <w:p>
      <w:pPr>
        <w:jc w:val="both"/>
        <w:ind w:left="2"/>
        <w:spacing w:after="0" w:line="260" w:lineRule="auto"/>
        <w:rPr>
          <w:sz w:val="20"/>
          <w:szCs w:val="20"/>
          <w:color w:val="auto"/>
        </w:rPr>
      </w:pPr>
      <w:r>
        <w:rPr>
          <w:rFonts w:ascii="Arial" w:cs="Arial" w:eastAsia="Arial" w:hAnsi="Arial"/>
          <w:sz w:val="16"/>
          <w:szCs w:val="16"/>
          <w:color w:val="auto"/>
        </w:rPr>
        <w:t>The consolidated financial statements have been prepared in accordance with United States generally accepted accounting principles (“GAAP”) and rules and regulations of the Securities and Exchange Commission. The consolidated financial statements include the accounts of National Beverage Corp. and all subsidiaries. All significant intercompany transactions and accounts have been eliminated. Our fiscal year ends the Saturday closest to April 30 and, as a result, an additional week is added every five or six years. All fiscal years presented consisted of 52 weeks.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Cash and Equivalents</w:t>
      </w:r>
    </w:p>
    <w:p>
      <w:pPr>
        <w:spacing w:after="0" w:line="23" w:lineRule="exact"/>
        <w:rPr>
          <w:sz w:val="20"/>
          <w:szCs w:val="20"/>
          <w:color w:val="auto"/>
        </w:rPr>
      </w:pPr>
    </w:p>
    <w:p>
      <w:pPr>
        <w:jc w:val="both"/>
        <w:ind w:left="2"/>
        <w:spacing w:after="0" w:line="270" w:lineRule="auto"/>
        <w:rPr>
          <w:sz w:val="20"/>
          <w:szCs w:val="20"/>
          <w:color w:val="auto"/>
        </w:rPr>
      </w:pPr>
      <w:r>
        <w:rPr>
          <w:rFonts w:ascii="Arial" w:cs="Arial" w:eastAsia="Arial" w:hAnsi="Arial"/>
          <w:sz w:val="16"/>
          <w:szCs w:val="16"/>
          <w:color w:val="auto"/>
        </w:rPr>
        <w:t>Cash and equivalents are comprised of cash and highly liquid securities (consisting primarily of short-term money-market investments) with an original maturity of three months or less.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23" w:lineRule="exact"/>
        <w:rPr>
          <w:sz w:val="20"/>
          <w:szCs w:val="20"/>
          <w:color w:val="auto"/>
        </w:rPr>
      </w:pPr>
    </w:p>
    <w:p>
      <w:pPr>
        <w:jc w:val="both"/>
        <w:ind w:left="2"/>
        <w:spacing w:after="0" w:line="263" w:lineRule="auto"/>
        <w:rPr>
          <w:sz w:val="20"/>
          <w:szCs w:val="20"/>
          <w:color w:val="auto"/>
        </w:rPr>
      </w:pPr>
      <w:r>
        <w:rPr>
          <w:rFonts w:ascii="Arial" w:cs="Arial" w:eastAsia="Arial" w:hAnsi="Arial"/>
          <w:sz w:val="16"/>
          <w:szCs w:val="16"/>
          <w:color w:val="auto"/>
        </w:rPr>
        <w:t>We use derivative financial instruments to partially mitigate our exposure to changes in raw material costs. All derivative financial instruments are recorded at fair value in our Consolidated Balance Sheets. We do not use derivative financial instruments for trading or speculative purposes. Credit risk related to derivative financial instruments is managed by requiring high credit standards for counterparties and frequent cash settlements. See Note 6.</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Earnings Per Common Share</w:t>
      </w:r>
    </w:p>
    <w:p>
      <w:pPr>
        <w:spacing w:after="0" w:line="23" w:lineRule="exact"/>
        <w:rPr>
          <w:sz w:val="20"/>
          <w:szCs w:val="20"/>
          <w:color w:val="auto"/>
        </w:rPr>
      </w:pPr>
    </w:p>
    <w:p>
      <w:pPr>
        <w:jc w:val="both"/>
        <w:ind w:left="2"/>
        <w:spacing w:after="0" w:line="263" w:lineRule="auto"/>
        <w:rPr>
          <w:sz w:val="20"/>
          <w:szCs w:val="20"/>
          <w:color w:val="auto"/>
        </w:rPr>
      </w:pPr>
      <w:r>
        <w:rPr>
          <w:rFonts w:ascii="Arial" w:cs="Arial" w:eastAsia="Arial" w:hAnsi="Arial"/>
          <w:sz w:val="16"/>
          <w:szCs w:val="16"/>
          <w:color w:val="auto"/>
        </w:rPr>
        <w:t>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amounting to 323,000 shares in Fiscal 2018, 206,000 shares in Fiscal 2017 and 219,000 shares in Fiscal 2016.</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Fair Value</w:t>
      </w:r>
    </w:p>
    <w:p>
      <w:pPr>
        <w:spacing w:after="0" w:line="23" w:lineRule="exact"/>
        <w:rPr>
          <w:sz w:val="20"/>
          <w:szCs w:val="20"/>
          <w:color w:val="auto"/>
        </w:rPr>
      </w:pPr>
    </w:p>
    <w:p>
      <w:pPr>
        <w:jc w:val="both"/>
        <w:ind w:left="2"/>
        <w:spacing w:after="0" w:line="270" w:lineRule="auto"/>
        <w:rPr>
          <w:sz w:val="20"/>
          <w:szCs w:val="20"/>
          <w:color w:val="auto"/>
        </w:rPr>
      </w:pPr>
      <w:r>
        <w:rPr>
          <w:rFonts w:ascii="Arial" w:cs="Arial" w:eastAsia="Arial" w:hAnsi="Arial"/>
          <w:sz w:val="16"/>
          <w:szCs w:val="16"/>
          <w:color w:val="auto"/>
        </w:rPr>
        <w:t>The estimated fair values of derivative financial instruments are calculated based on market rates to settle the instruments. These values represent the estimated amounts we would receive upon sale, taking into consideration current market prices and credit worthiness. See Note 6.</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2"/>
          </w:cols>
          <w:pgMar w:left="238" w:top="120" w:right="239" w:bottom="1440" w:gutter="0" w:footer="0" w:header="0"/>
        </w:sectPr>
      </w:pPr>
    </w:p>
    <w:bookmarkStart w:id="30" w:name="page31"/>
    <w:bookmarkEnd w:id="3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All long-lived assets, excluding goodwill and intangible assets not subject to amortization, are evaluated for impairment on the basis of undiscounted cash flows whenever events or changes in circumstances indicate that the carrying amount of an asset may not be recoverable. An impaired asset is written down to its estimated fair market value based on the best information available. Estimated fair value is generally measured by discounting future cash flows. Goodwill and intangible assets not subject to amortization are evaluated for impairment annually or sooner if we believe such assets may be impaired. An impairment loss is recognized if the carrying amount or, for goodwill, the carrying amount of its reporting unit, is greater than its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effective income tax rate is based on estimates of taxes which will ultimately be payable. Deferred taxes are recorded to give recognition to temporary differences between the tax bases of assets or liabilities and their reported amounts in the financial statements. Valuation allowances are established to reduce the carrying amounts of deferred tax assets when it is deemed, more likely than not, that the benefit of deferred tax assets will not be realized.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Insurance Programs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self-insured and deductible programs for certain liability, medical and workers’ compensation exposures. Accordingly, we accrue for known claims and estimated incurred but not reported claims not otherwise covered by insurance based on actuarial assumptions and historical claims experience. At April 28, 2018 and April 29, 2017, other liabilities included accruals of $6.5 million and $6.9 million, respectively, for estimated non-current risk retention exposures, of which $5.0 million and $5.4 million were covered by insurance.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as of April 28, 2018 and April 29, 2017 consisted of non-amortizable trademarks.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Inventories are stated at the lower of first-in, first-out cost or market. Inventories at April 28, 2018 were comprised of finished goods of $37.6 million and raw materials of $23.3 million. Inventories at April 29, 2017 were comprised of finished goods of $35.0 million and raw materials of $18.4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 Costs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are involved in a variety of marketing programs, including cooperative advertising programs with customers, to advertise and promote our products to consumers. Marketing costs are expensed when incurred, except for prepaid advertising and production costs which are expensed when the advertising takes place. Marketing costs, which are included in selling, general and administrative expenses, totaled $49.7 million in Fiscal 2018, $44.9 million in Fiscal 2017 and $38.8 million in Fiscal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1" w:name="page32"/>
    <w:bookmarkEnd w:id="3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 - adopted</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March 2016, the Financial Accounting Standards Board (“FASB”) issued Accounting Standards Update No. 2016-09, “Compensation-Stock Compensation: Improvements to Employee Share-Based Payment Accounting” (“ASU 2016-09”). The updated guidance simplifies and changes how companies account for certain aspects of share-based payment awards to employees, including accounting for income taxes and forfeitures, as well as classification of certain items in the statement of cash flows. The Company adopted ASU 2016-09 effective April 30, 2017 and elected to apply the cash flow guidance retrospectively; therefore, cash flow from operating activities increased and cash flow from financing activities decreased by $495 thousand and $1.5 million for the twelve months ended April 29, 2017 and April 30, 2016, respectively. The Company also elected to continue to estimate the number of awards that are expected to vest using the forfeiture option. The adoption of ASU 2016-09 reduced the Company’s income tax expense by $886 thousand for the twelve months ended April 28, 2018.</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2015, the FASB issued Accounting Standards Update No. 2015-17, “Balance Sheet Classification of Deferred Taxes” (“ASU 2015-17”). ASU 2015-17 requires companies to classify all deferred tax liabilities and assets as noncurrent on the balance sheet. We adopted ASU 2015-17 effective for our fiscal year beginning April 30, 2017, electing to apply it retrospectively to all periods presented. As a result, $3.9 million of deferred taxes was reclassified from current to non-current on the consolidated balance sheet as of April 29, 2017.</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2018, the FASB issued Accounting Standards Update 2018-02, “Reclassification of Certain Tax Effects from Accumulated Other Comprehensive Income” (“ASU 2018-02”). This update permits the impact of lower corporate income tax rates related to items classified in accumulated other comprehensive income to be reclassified directly to retained earnings. We adopted ASU 2018-02 effective for our third quarter ended January 27, 2018. We elected not to reclassify the income tax effects of the Tax Cuts and Jobs Act from accumulated other comprehensive income to retained earnings.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 – not yet adopted</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(“ASU 2014-09”). ASU 2014-09 requires an entity to recognize revenue in an amount that reflects the consideration it expects to receive in exchange for goods or services. On August 12, 2015, the FASB issued ASU 2015-14 which deferred the effective date of ASU 2014-09 by one year and is effective for our fiscal year beginning April 29, 2018. Management has completed its evaluation and adoption is not expected to have a material impact on our financial position, results of operations or cash flows. Disclosure requirements under the new guidance have been significantly expanded.</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February 2016, the FASB issued Accounting Standards Update No. 2016-02, “Leases” (“ASU 2016-02”). ASU 2016-02 requires the lease rights and obligations arising from lease contracts, including existing and new arrangements, to be recognized as assets and liabilities on the balance sheet. ASU 2016-02 is effective for our fiscal year beginning April 28, 2019. We are currently evaluating the potential impact of adopting this guidance on our consolidated financial statements.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August 2017, the FASB issued Accounting Standards Update 2017-12, “Targeted Improvements to Accounting for Hedge Activities” (“ASU 2017-12”). This amendment simplifies the application of hedge accounting and enables companies to better portray the economics of risk management activities in their financial statements. ASU 2017-12 is effective for our fiscal year beginning April 28, 2019. We are currently evaluating the potential impact of adopting this guidance on our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2" w:name="page33"/>
    <w:bookmarkEnd w:id="3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Property, plant and equipment are recorded at cost. Additions, replacements and betterments are capitalized, while maintenance and repairs that do not extend the useful life of an asset are expensed as incurred. Depreciation is recorded using the straight-line method over estimated useful lives of 5 to 30 years for buildings and improvements and 3 to 15 years for machinery and equipment. Leasehold improvements are amortized using the straight-line method over the shorter of the remaining lease term or the estimated useful life of the improvement. When assets are retired or otherwise disposed, the cost and accumulated depreciation are removed from the respective accounts and any related gain or loss is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recognize revenue upon delivery to our customers, based on written sales terms that do not allow a right of return except in rare instances. Our products are typically sold on credit, however smaller accounts are sold on a cash basis. Our credit terms typically require payment within 30 days of delivery and may allow discounts for early payment. We estimate and reserve for bad debt exposure based on our experience with past due accounts, collectability and our analysis of customer data.</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We offer various sales incentive arrangements to our customers that require customer performance or achievement of certain sales volume targets. Sales incentives are accrued over the period of benefit or expected sales volume. When the incentive is paid in advance, the aggregate incentive is recorded as a prepaid and amortized over the period of benefit. The recognition of these incentives involves the use of judgment related to performance and sales volume estimates that are made based on historical experience and other factors. Sales incentives are accounted for as a reduction of sales and actual amounts ultimately realized may vary from accrued amounts. Such differences are recorded once determined and have historically not been significant. We will adopt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and its amendments on April 29, 2018 using the modified retrospective approach, with no anticipated material impact to the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operate as a single operating segment for purposes of presenting financial information and evaluating performance. As such, the accompanying consolidated financial statements present financial information in a format that is consistent with the internal financial information used by management. We do not accumulate revenues by product classification and, therefore, it is impractical to present such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Shipping and Handling Costs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Shipping and handling costs are reported in selling, general and administrative expenses in the accompanying consolidated statements of income. Such costs aggregated $63.3 million in Fiscal 2018, $50.0 million in Fiscal 2017 and $44.6 million in Fiscal 2016. Although our classification is consistent with many beverage companies, our gross margin may not be comparable to companies that include shipping and handling costs in cost of sales.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Compensation expense for stock-based compensation awards is recognized over the vesting period based on the grant-date fair value estimated using the Black-Scholes model. See Note 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3" w:name="page34"/>
    <w:bookmarkEnd w:id="3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Trade Receivables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record trade receivables at net realizable value, which includes an estimated allowance for doubtful accounts. We extend credit based on an evaluation of each customer’s financial condition, generally without requiring collateral. Exposure to credit losses varies by customer principally due to the financial condition of each customer. We monitor our exposure to credit losses and maintain allowances for anticipated losses based on our experience with past due accounts, collectability and our analysis of customer data. Activity in the allowance for doubtful accounts was as follows: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Fiscal 2018</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Fiscal 2017</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Fiscal 2016</w:t>
            </w:r>
          </w:p>
        </w:tc>
        <w:tc>
          <w:tcPr>
            <w:tcW w:w="100" w:type="dxa"/>
            <w:vAlign w:val="bottom"/>
          </w:tcPr>
          <w:p>
            <w:pPr>
              <w:spacing w:after="0"/>
              <w:rPr>
                <w:sz w:val="16"/>
                <w:szCs w:val="16"/>
                <w:color w:val="auto"/>
              </w:rPr>
            </w:pPr>
          </w:p>
        </w:tc>
      </w:tr>
      <w:tr>
        <w:trPr>
          <w:trHeight w:val="188"/>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1220" w:type="dxa"/>
            <w:vAlign w:val="bottom"/>
            <w:shd w:val="clear" w:color="auto" w:fill="CCEEFF"/>
          </w:tcPr>
          <w:p>
            <w:pPr>
              <w:jc w:val="right"/>
              <w:ind w:right="106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484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w:t>
            </w:r>
          </w:p>
        </w:tc>
      </w:tr>
      <w:tr>
        <w:trPr>
          <w:trHeight w:val="196"/>
        </w:trPr>
        <w:tc>
          <w:tcPr>
            <w:tcW w:w="5760" w:type="dxa"/>
            <w:vAlign w:val="bottom"/>
          </w:tcPr>
          <w:p>
            <w:pPr>
              <w:spacing w:after="0"/>
              <w:rPr>
                <w:sz w:val="20"/>
                <w:szCs w:val="20"/>
                <w:color w:val="auto"/>
              </w:rPr>
            </w:pPr>
            <w:r>
              <w:rPr>
                <w:rFonts w:ascii="Arial" w:cs="Arial" w:eastAsia="Arial" w:hAnsi="Arial"/>
                <w:sz w:val="16"/>
                <w:szCs w:val="16"/>
                <w:color w:val="auto"/>
              </w:rPr>
              <w:t>Net charge to expense</w:t>
            </w:r>
          </w:p>
        </w:tc>
        <w:tc>
          <w:tcPr>
            <w:tcW w:w="1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232</w:t>
            </w:r>
          </w:p>
        </w:tc>
      </w:tr>
      <w:tr>
        <w:trPr>
          <w:trHeight w:val="196"/>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Net charge-off</w:t>
            </w:r>
          </w:p>
        </w:tc>
        <w:tc>
          <w:tcPr>
            <w:tcW w:w="1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r>
      <w:tr>
        <w:trPr>
          <w:trHeight w:val="20"/>
        </w:trPr>
        <w:tc>
          <w:tcPr>
            <w:tcW w:w="57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8"/>
        </w:trPr>
        <w:tc>
          <w:tcPr>
            <w:tcW w:w="5760" w:type="dxa"/>
            <w:vAlign w:val="bottom"/>
          </w:tcPr>
          <w:p>
            <w:pPr>
              <w:spacing w:after="0"/>
              <w:rPr>
                <w:sz w:val="20"/>
                <w:szCs w:val="20"/>
                <w:color w:val="auto"/>
              </w:rPr>
            </w:pPr>
            <w:r>
              <w:rPr>
                <w:rFonts w:ascii="Arial" w:cs="Arial" w:eastAsia="Arial" w:hAnsi="Arial"/>
                <w:sz w:val="16"/>
                <w:szCs w:val="16"/>
                <w:color w:val="auto"/>
              </w:rPr>
              <w:t>Balance at end of year</w:t>
            </w:r>
          </w:p>
        </w:tc>
        <w:tc>
          <w:tcPr>
            <w:tcW w:w="1220" w:type="dxa"/>
            <w:vAlign w:val="bottom"/>
          </w:tcPr>
          <w:p>
            <w:pPr>
              <w:jc w:val="right"/>
              <w:ind w:right="106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452</w:t>
            </w:r>
          </w:p>
        </w:tc>
        <w:tc>
          <w:tcPr>
            <w:tcW w:w="220" w:type="dxa"/>
            <w:vAlign w:val="bottom"/>
          </w:tcPr>
          <w:p>
            <w:pPr>
              <w:spacing w:after="0"/>
              <w:rPr>
                <w:sz w:val="16"/>
                <w:szCs w:val="16"/>
                <w:color w:val="auto"/>
              </w:rPr>
            </w:pPr>
          </w:p>
        </w:tc>
        <w:tc>
          <w:tcPr>
            <w:tcW w:w="1240" w:type="dxa"/>
            <w:vAlign w:val="bottom"/>
          </w:tcPr>
          <w:p>
            <w:pPr>
              <w:jc w:val="right"/>
              <w:ind w:right="1081"/>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468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484</w:t>
            </w: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April 28, 2018 and April 29, 2017, we did not have any customer that comprised more than 10% of trade receivables. No one customer accounted for more than 10% of net sales during any of the last three fiscal years.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preparation of financial statements in conformity with United States generally accepted accounting principles requires management to make estimates and assumptions that affect the amounts reported in the financial statements and accompanying notes. Although these estimates are based on management’s knowledge of current events and anticipated future actions, actual results may vary from reported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20"/>
                <w:szCs w:val="20"/>
                <w:color w:val="auto"/>
              </w:rPr>
            </w:pPr>
            <w:r>
              <w:rPr>
                <w:rFonts w:ascii="Arial" w:cs="Arial" w:eastAsia="Arial" w:hAnsi="Arial"/>
                <w:sz w:val="16"/>
                <w:szCs w:val="16"/>
                <w:b w:val="1"/>
                <w:bCs w:val="1"/>
                <w:color w:val="auto"/>
              </w:rPr>
              <w:t>2.</w:t>
            </w:r>
          </w:p>
        </w:tc>
        <w:tc>
          <w:tcPr>
            <w:tcW w:w="7140" w:type="dxa"/>
            <w:vAlign w:val="bottom"/>
          </w:tcPr>
          <w:p>
            <w:pPr>
              <w:ind w:left="60"/>
              <w:spacing w:after="0"/>
              <w:rPr>
                <w:sz w:val="20"/>
                <w:szCs w:val="20"/>
                <w:color w:val="auto"/>
              </w:rPr>
            </w:pPr>
            <w:r>
              <w:rPr>
                <w:rFonts w:ascii="Arial" w:cs="Arial" w:eastAsia="Arial" w:hAnsi="Arial"/>
                <w:sz w:val="16"/>
                <w:szCs w:val="16"/>
                <w:b w:val="1"/>
                <w:bCs w:val="1"/>
                <w:color w:val="auto"/>
              </w:rPr>
              <w:t>PROPERTY, PLANT AND EQUIPMENT</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7520" w:type="dxa"/>
            <w:vAlign w:val="bottom"/>
            <w:gridSpan w:val="2"/>
          </w:tcPr>
          <w:p>
            <w:pPr>
              <w:spacing w:after="0"/>
              <w:rPr>
                <w:sz w:val="20"/>
                <w:szCs w:val="20"/>
                <w:color w:val="auto"/>
              </w:rPr>
            </w:pPr>
            <w:r>
              <w:rPr>
                <w:rFonts w:ascii="Arial" w:cs="Arial" w:eastAsia="Arial" w:hAnsi="Arial"/>
                <w:sz w:val="16"/>
                <w:szCs w:val="16"/>
                <w:color w:val="auto"/>
              </w:rPr>
              <w:t>Property, plant and equipment as of April 28, 2018 and April 29, 2017 consisted of the following:</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color w:val="auto"/>
              </w:rPr>
              <w:t>(In thousands)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38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6"/>
                <w:szCs w:val="16"/>
                <w:color w:val="auto"/>
              </w:rPr>
            </w:pPr>
          </w:p>
        </w:tc>
      </w:tr>
      <w:tr>
        <w:trPr>
          <w:trHeight w:val="188"/>
        </w:trPr>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714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jc w:val="right"/>
              <w:ind w:right="79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9,500</w:t>
            </w:r>
          </w:p>
        </w:tc>
      </w:tr>
      <w:tr>
        <w:trPr>
          <w:trHeight w:val="196"/>
        </w:trPr>
        <w:tc>
          <w:tcPr>
            <w:tcW w:w="7520" w:type="dxa"/>
            <w:vAlign w:val="bottom"/>
            <w:gridSpan w:val="2"/>
          </w:tcPr>
          <w:p>
            <w:pPr>
              <w:spacing w:after="0"/>
              <w:rPr>
                <w:sz w:val="20"/>
                <w:szCs w:val="20"/>
                <w:color w:val="auto"/>
              </w:rPr>
            </w:pPr>
            <w:r>
              <w:rPr>
                <w:rFonts w:ascii="Arial" w:cs="Arial" w:eastAsia="Arial" w:hAnsi="Arial"/>
                <w:sz w:val="16"/>
                <w:szCs w:val="16"/>
                <w:color w:val="auto"/>
              </w:rPr>
              <w:t>Buildings and improvements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56,947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51,157</w:t>
            </w:r>
          </w:p>
        </w:tc>
      </w:tr>
      <w:tr>
        <w:trPr>
          <w:trHeight w:val="196"/>
        </w:trPr>
        <w:tc>
          <w:tcPr>
            <w:tcW w:w="75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194,241</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8"/>
        </w:trPr>
        <w:tc>
          <w:tcPr>
            <w:tcW w:w="380" w:type="dxa"/>
            <w:vAlign w:val="bottom"/>
          </w:tcPr>
          <w:p>
            <w:pPr>
              <w:spacing w:after="0"/>
              <w:rPr>
                <w:sz w:val="20"/>
                <w:szCs w:val="20"/>
                <w:color w:val="auto"/>
              </w:rPr>
            </w:pPr>
            <w:r>
              <w:rPr>
                <w:rFonts w:ascii="Arial" w:cs="Arial" w:eastAsia="Arial" w:hAnsi="Arial"/>
                <w:sz w:val="16"/>
                <w:szCs w:val="16"/>
                <w:color w:val="auto"/>
              </w:rPr>
              <w:t>Total</w:t>
            </w:r>
          </w:p>
        </w:tc>
        <w:tc>
          <w:tcPr>
            <w:tcW w:w="7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260,688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232,914</w:t>
            </w:r>
          </w:p>
        </w:tc>
      </w:tr>
      <w:tr>
        <w:trPr>
          <w:trHeight w:val="196"/>
        </w:trPr>
        <w:tc>
          <w:tcPr>
            <w:tcW w:w="7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9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(174,881)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(167,764)</w:t>
            </w:r>
          </w:p>
        </w:tc>
      </w:tr>
      <w:tr>
        <w:trPr>
          <w:trHeight w:val="20"/>
        </w:trPr>
        <w:tc>
          <w:tcPr>
            <w:tcW w:w="380" w:type="dxa"/>
            <w:vAlign w:val="bottom"/>
            <w:shd w:val="clear" w:color="auto" w:fill="CCEEFF"/>
          </w:tcPr>
          <w:p>
            <w:pPr>
              <w:spacing w:after="0" w:line="20" w:lineRule="exact"/>
              <w:rPr>
                <w:sz w:val="1"/>
                <w:szCs w:val="1"/>
                <w:color w:val="auto"/>
              </w:rPr>
            </w:pPr>
          </w:p>
        </w:tc>
        <w:tc>
          <w:tcPr>
            <w:tcW w:w="714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8"/>
        </w:trPr>
        <w:tc>
          <w:tcPr>
            <w:tcW w:w="7520" w:type="dxa"/>
            <w:vAlign w:val="bottom"/>
            <w:gridSpan w:val="2"/>
          </w:tcPr>
          <w:p>
            <w:pPr>
              <w:spacing w:after="0"/>
              <w:rPr>
                <w:sz w:val="20"/>
                <w:szCs w:val="20"/>
                <w:color w:val="auto"/>
              </w:rPr>
            </w:pPr>
            <w:r>
              <w:rPr>
                <w:rFonts w:ascii="Arial" w:cs="Arial" w:eastAsia="Arial" w:hAnsi="Arial"/>
                <w:sz w:val="16"/>
                <w:szCs w:val="16"/>
                <w:color w:val="auto"/>
              </w:rPr>
              <w:t>Property, plant and equipment – net</w:t>
            </w:r>
          </w:p>
        </w:tc>
        <w:tc>
          <w:tcPr>
            <w:tcW w:w="920" w:type="dxa"/>
            <w:vAlign w:val="bottom"/>
          </w:tcPr>
          <w:p>
            <w:pPr>
              <w:jc w:val="right"/>
              <w:ind w:right="79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85,807</w:t>
            </w:r>
          </w:p>
        </w:tc>
        <w:tc>
          <w:tcPr>
            <w:tcW w:w="220" w:type="dxa"/>
            <w:vAlign w:val="bottom"/>
          </w:tcPr>
          <w:p>
            <w:pPr>
              <w:spacing w:after="0"/>
              <w:rPr>
                <w:sz w:val="16"/>
                <w:szCs w:val="16"/>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65,150</w:t>
            </w:r>
          </w:p>
        </w:tc>
      </w:tr>
      <w:tr>
        <w:trPr>
          <w:trHeight w:val="20"/>
        </w:trPr>
        <w:tc>
          <w:tcPr>
            <w:tcW w:w="3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$11.1 million for Fiscal 2018, $10.7 million for Fiscal 2017 and $10.1 million for Fiscal 2016.</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4" w:name="page35"/>
    <w:bookmarkEnd w:id="34"/>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400" w:type="dxa"/>
            <w:vAlign w:val="bottom"/>
          </w:tcPr>
          <w:p>
            <w:pPr>
              <w:spacing w:after="0"/>
              <w:rPr>
                <w:sz w:val="20"/>
                <w:szCs w:val="20"/>
                <w:color w:val="auto"/>
              </w:rPr>
            </w:pPr>
            <w:r>
              <w:rPr>
                <w:rFonts w:ascii="Arial" w:cs="Arial" w:eastAsia="Arial" w:hAnsi="Arial"/>
                <w:sz w:val="16"/>
                <w:szCs w:val="16"/>
                <w:b w:val="1"/>
                <w:bCs w:val="1"/>
                <w:color w:val="auto"/>
              </w:rPr>
              <w:t>3.</w:t>
            </w:r>
          </w:p>
        </w:tc>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6560" w:type="dxa"/>
            <w:vAlign w:val="bottom"/>
            <w:gridSpan w:val="2"/>
          </w:tcPr>
          <w:p>
            <w:pPr>
              <w:spacing w:after="0"/>
              <w:rPr>
                <w:sz w:val="20"/>
                <w:szCs w:val="20"/>
                <w:color w:val="auto"/>
              </w:rPr>
            </w:pPr>
            <w:r>
              <w:rPr>
                <w:rFonts w:ascii="Arial" w:cs="Arial" w:eastAsia="Arial" w:hAnsi="Arial"/>
                <w:sz w:val="16"/>
                <w:szCs w:val="16"/>
                <w:color w:val="auto"/>
              </w:rPr>
              <w:t>Accrued liabilities as of April 28, 2018 and April 29, 2017 consisted of the following:</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color w:val="auto"/>
              </w:rPr>
              <w:t>(In thousands)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2018</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6"/>
                <w:szCs w:val="16"/>
                <w:color w:val="auto"/>
              </w:rPr>
            </w:pPr>
          </w:p>
        </w:tc>
      </w:tr>
      <w:tr>
        <w:trPr>
          <w:trHeight w:val="188"/>
        </w:trPr>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940" w:type="dxa"/>
            <w:vAlign w:val="bottom"/>
            <w:gridSpan w:val="2"/>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9,967</w:t>
            </w:r>
          </w:p>
        </w:tc>
      </w:tr>
      <w:tr>
        <w:trPr>
          <w:trHeight w:val="196"/>
        </w:trPr>
        <w:tc>
          <w:tcPr>
            <w:tcW w:w="6560" w:type="dxa"/>
            <w:vAlign w:val="bottom"/>
            <w:gridSpan w:val="2"/>
          </w:tcPr>
          <w:p>
            <w:pPr>
              <w:spacing w:after="0"/>
              <w:rPr>
                <w:sz w:val="20"/>
                <w:szCs w:val="20"/>
                <w:color w:val="auto"/>
              </w:rPr>
            </w:pPr>
            <w:r>
              <w:rPr>
                <w:rFonts w:ascii="Arial" w:cs="Arial" w:eastAsia="Arial" w:hAnsi="Arial"/>
                <w:sz w:val="16"/>
                <w:szCs w:val="16"/>
                <w:color w:val="auto"/>
              </w:rPr>
              <w:t>Accrued promotions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7,011</w:t>
            </w:r>
          </w:p>
        </w:tc>
        <w:tc>
          <w:tcPr>
            <w:tcW w:w="4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8,403</w:t>
            </w:r>
          </w:p>
        </w:tc>
      </w:tr>
      <w:tr>
        <w:trPr>
          <w:trHeight w:val="196"/>
        </w:trPr>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freight</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5,984</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2,279</w:t>
            </w:r>
          </w:p>
        </w:tc>
      </w:tr>
      <w:tr>
        <w:trPr>
          <w:trHeight w:val="196"/>
        </w:trPr>
        <w:tc>
          <w:tcPr>
            <w:tcW w:w="400" w:type="dxa"/>
            <w:vAlign w:val="bottom"/>
          </w:tcPr>
          <w:p>
            <w:pPr>
              <w:spacing w:after="0"/>
              <w:rPr>
                <w:sz w:val="20"/>
                <w:szCs w:val="20"/>
                <w:color w:val="auto"/>
              </w:rPr>
            </w:pPr>
            <w:r>
              <w:rPr>
                <w:rFonts w:ascii="Arial" w:cs="Arial" w:eastAsia="Arial" w:hAnsi="Arial"/>
                <w:sz w:val="16"/>
                <w:szCs w:val="16"/>
                <w:color w:val="auto"/>
                <w:w w:val="94"/>
              </w:rPr>
              <w:t>Other</w:t>
            </w:r>
          </w:p>
        </w:tc>
        <w:tc>
          <w:tcPr>
            <w:tcW w:w="6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6,933</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8,368</w:t>
            </w:r>
          </w:p>
        </w:tc>
        <w:tc>
          <w:tcPr>
            <w:tcW w:w="100" w:type="dxa"/>
            <w:vAlign w:val="bottom"/>
          </w:tcPr>
          <w:p>
            <w:pPr>
              <w:spacing w:after="0"/>
              <w:rPr>
                <w:sz w:val="17"/>
                <w:szCs w:val="17"/>
                <w:color w:val="auto"/>
              </w:rPr>
            </w:pPr>
          </w:p>
        </w:tc>
      </w:tr>
      <w:tr>
        <w:trPr>
          <w:trHeight w:val="228"/>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29,718</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400" w:lineRule="exact"/>
        <w:rPr>
          <w:sz w:val="20"/>
          <w:szCs w:val="20"/>
          <w:color w:val="auto"/>
        </w:rPr>
      </w:pPr>
    </w:p>
    <w:p>
      <w:pPr>
        <w:ind w:left="442" w:hanging="442"/>
        <w:spacing w:after="0"/>
        <w:tabs>
          <w:tab w:leader="none" w:pos="44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212" w:lineRule="exact"/>
        <w:rPr>
          <w:sz w:val="20"/>
          <w:szCs w:val="20"/>
          <w:color w:val="auto"/>
        </w:rPr>
      </w:pPr>
    </w:p>
    <w:p>
      <w:pPr>
        <w:jc w:val="both"/>
        <w:ind w:left="2"/>
        <w:spacing w:after="0" w:line="265" w:lineRule="auto"/>
        <w:rPr>
          <w:sz w:val="20"/>
          <w:szCs w:val="20"/>
          <w:color w:val="auto"/>
        </w:rPr>
      </w:pPr>
      <w:r>
        <w:rPr>
          <w:rFonts w:ascii="Arial" w:cs="Arial" w:eastAsia="Arial" w:hAnsi="Arial"/>
          <w:sz w:val="16"/>
          <w:szCs w:val="16"/>
          <w:color w:val="auto"/>
        </w:rPr>
        <w:t>At April 28, 2018, a subsidiary of the Company maintained unsecured revolving credit facilities with banks aggregating $100 million (the “Credit Facilities”). The Credit Facilities expire from October 3, 2020 to June 18, 2021 and any borrowings would currently bear interest at .9% above one-month LIBOR. There were no borrowings outstanding under the Credit Facilities at April 28, 2018 or April 29, 2017. At April 28, 2018, $2.1 million of the Credit Facilities was reserved for standby letters of credit and $97.9 million was available for borrowings.</w:t>
      </w:r>
    </w:p>
    <w:p>
      <w:pPr>
        <w:spacing w:after="0" w:line="167" w:lineRule="exact"/>
        <w:rPr>
          <w:sz w:val="20"/>
          <w:szCs w:val="20"/>
          <w:color w:val="auto"/>
        </w:rPr>
      </w:pPr>
    </w:p>
    <w:p>
      <w:pPr>
        <w:jc w:val="both"/>
        <w:ind w:left="2"/>
        <w:spacing w:after="0" w:line="270" w:lineRule="auto"/>
        <w:rPr>
          <w:sz w:val="20"/>
          <w:szCs w:val="20"/>
          <w:color w:val="auto"/>
        </w:rPr>
      </w:pPr>
      <w:r>
        <w:rPr>
          <w:rFonts w:ascii="Arial" w:cs="Arial" w:eastAsia="Arial" w:hAnsi="Arial"/>
          <w:sz w:val="16"/>
          <w:szCs w:val="16"/>
          <w:color w:val="auto"/>
        </w:rPr>
        <w:t>The Credit Facilities require the subsidiary to maintain certain financial ratios, including debt to net worth and debt to EBITDA (as defined in the Credit Facilities), and contain other restrictions, none of which are expected to have a material effect on our operations or financial position. At April 28, 2018, we were in compliance with all loan covenants.</w:t>
      </w:r>
    </w:p>
    <w:p>
      <w:pPr>
        <w:spacing w:after="0" w:line="379" w:lineRule="exact"/>
        <w:rPr>
          <w:sz w:val="20"/>
          <w:szCs w:val="20"/>
          <w:color w:val="auto"/>
        </w:rPr>
      </w:pPr>
    </w:p>
    <w:p>
      <w:pPr>
        <w:ind w:left="442" w:hanging="442"/>
        <w:spacing w:after="0"/>
        <w:tabs>
          <w:tab w:leader="none" w:pos="44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STOCK AND TRANSACTIONS WITH RELATED PARTIES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paid a special cash dividend on Common Stock of $69.9 million ($1.50 per share) on August 4, 2017 and January 27, 2017.</w:t>
      </w:r>
    </w:p>
    <w:p>
      <w:pPr>
        <w:spacing w:after="0" w:line="208" w:lineRule="exact"/>
        <w:rPr>
          <w:sz w:val="20"/>
          <w:szCs w:val="20"/>
          <w:color w:val="auto"/>
        </w:rPr>
      </w:pPr>
    </w:p>
    <w:p>
      <w:pPr>
        <w:jc w:val="both"/>
        <w:ind w:left="2"/>
        <w:spacing w:after="0" w:line="296" w:lineRule="auto"/>
        <w:rPr>
          <w:sz w:val="20"/>
          <w:szCs w:val="20"/>
          <w:color w:val="auto"/>
        </w:rPr>
      </w:pPr>
      <w:r>
        <w:rPr>
          <w:rFonts w:ascii="Arial" w:cs="Arial" w:eastAsia="Arial" w:hAnsi="Arial"/>
          <w:sz w:val="15"/>
          <w:szCs w:val="15"/>
          <w:color w:val="auto"/>
        </w:rPr>
        <w:t>On January 25, 2013, the Company sold 400,000 shares of Special Series D Preferred Stock, par value $1 per share (“Series D Preferred”) for an aggregate purchase price of $20 million. On April 29, 2016, the Company redeemed the final remaining 120,000 shares of Series D Preferred for an aggregate price of $6 million plus accrued dividends. In addition, the Company has 150,000 shares of Series C Preferred Stock, par value $1 per share, which are held as treasury stock.</w:t>
      </w:r>
    </w:p>
    <w:p>
      <w:pPr>
        <w:spacing w:after="0" w:line="145" w:lineRule="exact"/>
        <w:rPr>
          <w:sz w:val="20"/>
          <w:szCs w:val="20"/>
          <w:color w:val="auto"/>
        </w:rPr>
      </w:pPr>
    </w:p>
    <w:p>
      <w:pPr>
        <w:jc w:val="both"/>
        <w:ind w:left="2"/>
        <w:spacing w:after="0" w:line="321" w:lineRule="auto"/>
        <w:rPr>
          <w:sz w:val="20"/>
          <w:szCs w:val="20"/>
          <w:color w:val="auto"/>
        </w:rPr>
      </w:pPr>
      <w:r>
        <w:rPr>
          <w:rFonts w:ascii="Arial" w:cs="Arial" w:eastAsia="Arial" w:hAnsi="Arial"/>
          <w:sz w:val="15"/>
          <w:szCs w:val="15"/>
          <w:color w:val="auto"/>
        </w:rPr>
        <w:t>The Company is authorized under its stock buyback program to repurchase 1.6 million shares of Common Stock. As of April 28, 2018, 502,060 shares were purchased under the program and 1,097,940 shares were available for purchase. No shares of Common Stock have been repurchased during the last three fiscal years.</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2"/>
          </w:cols>
          <w:pgMar w:left="238" w:top="120" w:right="239" w:bottom="1440" w:gutter="0" w:footer="0" w:header="0"/>
        </w:sectPr>
      </w:pPr>
    </w:p>
    <w:bookmarkStart w:id="35" w:name="page36"/>
    <w:bookmarkEnd w:id="35"/>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ind w:left="2" w:right="20"/>
        <w:spacing w:after="0" w:line="276" w:lineRule="auto"/>
        <w:rPr>
          <w:sz w:val="20"/>
          <w:szCs w:val="20"/>
          <w:color w:val="auto"/>
        </w:rPr>
      </w:pPr>
      <w:r>
        <w:rPr>
          <w:rFonts w:ascii="Arial" w:cs="Arial" w:eastAsia="Arial" w:hAnsi="Arial"/>
          <w:sz w:val="15"/>
          <w:szCs w:val="15"/>
          <w:color w:val="auto"/>
        </w:rPr>
        <w:t>The Company is a party to a management agreement with Corporate Management Advisors, Inc. (“CMA”), a corporation owned by our Chairman and Chief Executive Officer. This agreement was originated in 1991 for the efficient use of management of two public companies at the time. In 1994, one of those public entities, through a merger, no longer was managed in this manner. Under the terms of the agreement, CMA provides, subject to the direction and supervision of the Board of Directors of the Company, (i) senior corporate functions (including supervision of the Company’s financial, legal, executive recruitment, internal audit and information systems departments) as well as the services of a Chief Executive Officer and Chief Financial Officer, and (ii) services in connection with acquisitions, dispositions and financings by the Company, including identifying and profiling acquisition candidates, negotiating and structuring potential transactions and arranging financing for any such transaction. CMA, through its personnel, also provides, to the extent possible, the stimulus and creativity to develop an innovative and dynamic persona for the Company, its products and corporate image. In order to fulfill its obligations under the management agreement, CMA employs numerous individuals, whom, acting as a unit, provide management, administrative and creative functions for the Company. The management agreement provides that the Company will pay CMA an annual base fee equal to one percent of the consolidated net sales of the Company, and further provides that the Compensation and Stock Option Committee and the Board of Directors may from time to time award additional incentive compensation to CMA or its personnel. The Board of Directors on numerous occasions contemplated incentive compensation and, while shareholder value has increased over $4.8 billion (or 11,000%) since the inception of this agreement, no incentive compensation has been paid. We incurred management fees to CMA of $9.8 million for Fiscal 2018, $8.3 million for Fiscal 2017 and $7.0 million for Fiscal 2016. Included in accounts payable were amounts due CMA of $2.4 million at April 28, 2018 and $2.1 million at April 29, 2017.</w:t>
      </w:r>
    </w:p>
    <w:p>
      <w:pPr>
        <w:spacing w:after="0" w:line="377" w:lineRule="exact"/>
        <w:rPr>
          <w:sz w:val="20"/>
          <w:szCs w:val="20"/>
          <w:color w:val="auto"/>
        </w:rPr>
      </w:pPr>
    </w:p>
    <w:p>
      <w:pPr>
        <w:ind w:left="442" w:hanging="442"/>
        <w:spacing w:after="0"/>
        <w:tabs>
          <w:tab w:leader="none" w:pos="44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 FINANCIAL INSTRUMENTS</w:t>
      </w:r>
    </w:p>
    <w:p>
      <w:pPr>
        <w:spacing w:after="0" w:line="212"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6"/>
          <w:szCs w:val="16"/>
          <w:color w:val="auto"/>
        </w:rPr>
        <w:t>From time to time, we enter into aluminum swap contracts to partially mitigate our exposure to changes in the cost of aluminum cans. Such financial instruments are designated and accounted for as a cash flow hedge. Accordingly, gains or losses attributable to the effective portion of the cash flow hedge are reported in Accumulated Other Comprehensive Income (Loss) (“AOCI”) and reclassified into cost of sales in the period in which the hedged transaction affects earnings. The ineffective portion of the change in fair value of our cash flow hedge was immaterial. The following summarizes the gains (losses) recognized in the Consolidated Statements of Income and AOCI relative to the cash flow hedge for Fiscal 2018, Fiscal 2017 and Fiscal 2016:</w:t>
      </w:r>
    </w:p>
    <w:p>
      <w:pPr>
        <w:spacing w:after="0" w:line="16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color w:val="auto"/>
                <w:w w:val="89"/>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77"/>
        </w:trPr>
        <w:tc>
          <w:tcPr>
            <w:tcW w:w="4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60" w:type="dxa"/>
            <w:vAlign w:val="bottom"/>
          </w:tcPr>
          <w:p>
            <w:pPr>
              <w:jc w:val="right"/>
              <w:ind w:right="21"/>
              <w:spacing w:after="0" w:line="177" w:lineRule="exact"/>
              <w:rPr>
                <w:sz w:val="20"/>
                <w:szCs w:val="20"/>
                <w:color w:val="auto"/>
              </w:rPr>
            </w:pPr>
            <w:r>
              <w:rPr>
                <w:rFonts w:ascii="Arial" w:cs="Arial" w:eastAsia="Arial" w:hAnsi="Arial"/>
                <w:sz w:val="16"/>
                <w:szCs w:val="16"/>
                <w:color w:val="auto"/>
              </w:rPr>
              <w:t>Fiscal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400"/>
              <w:spacing w:after="0" w:line="177" w:lineRule="exact"/>
              <w:rPr>
                <w:sz w:val="20"/>
                <w:szCs w:val="20"/>
                <w:color w:val="auto"/>
              </w:rPr>
            </w:pPr>
            <w:r>
              <w:rPr>
                <w:rFonts w:ascii="Arial" w:cs="Arial" w:eastAsia="Arial" w:hAnsi="Arial"/>
                <w:sz w:val="16"/>
                <w:szCs w:val="16"/>
                <w:color w:val="auto"/>
                <w:w w:val="95"/>
              </w:rPr>
              <w:t>Fiscal</w:t>
            </w:r>
          </w:p>
        </w:tc>
        <w:tc>
          <w:tcPr>
            <w:tcW w:w="320" w:type="dxa"/>
            <w:vAlign w:val="bottom"/>
          </w:tcPr>
          <w:p>
            <w:pPr>
              <w:spacing w:after="0"/>
              <w:rPr>
                <w:sz w:val="15"/>
                <w:szCs w:val="15"/>
                <w:color w:val="auto"/>
              </w:rPr>
            </w:pPr>
          </w:p>
        </w:tc>
        <w:tc>
          <w:tcPr>
            <w:tcW w:w="1180" w:type="dxa"/>
            <w:vAlign w:val="bottom"/>
          </w:tcPr>
          <w:p>
            <w:pPr>
              <w:jc w:val="right"/>
              <w:ind w:right="478"/>
              <w:spacing w:after="0" w:line="177" w:lineRule="exact"/>
              <w:rPr>
                <w:sz w:val="20"/>
                <w:szCs w:val="20"/>
                <w:color w:val="auto"/>
              </w:rPr>
            </w:pPr>
            <w:r>
              <w:rPr>
                <w:rFonts w:ascii="Arial" w:cs="Arial" w:eastAsia="Arial" w:hAnsi="Arial"/>
                <w:sz w:val="16"/>
                <w:szCs w:val="16"/>
                <w:color w:val="auto"/>
              </w:rPr>
              <w:t>Fiscal</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8"/>
        </w:trPr>
        <w:tc>
          <w:tcPr>
            <w:tcW w:w="4140" w:type="dxa"/>
            <w:vAlign w:val="bottom"/>
          </w:tcPr>
          <w:p>
            <w:pPr>
              <w:spacing w:after="0"/>
              <w:rPr>
                <w:sz w:val="18"/>
                <w:szCs w:val="18"/>
                <w:color w:val="auto"/>
              </w:rPr>
            </w:pPr>
          </w:p>
        </w:tc>
        <w:tc>
          <w:tcPr>
            <w:tcW w:w="2680" w:type="dxa"/>
            <w:vAlign w:val="bottom"/>
            <w:gridSpan w:val="2"/>
          </w:tcPr>
          <w:p>
            <w:pPr>
              <w:jc w:val="right"/>
              <w:ind w:right="41"/>
              <w:spacing w:after="0"/>
              <w:rPr>
                <w:sz w:val="20"/>
                <w:szCs w:val="20"/>
                <w:color w:val="auto"/>
              </w:rPr>
            </w:pPr>
            <w:r>
              <w:rPr>
                <w:rFonts w:ascii="Arial" w:cs="Arial" w:eastAsia="Arial" w:hAnsi="Arial"/>
                <w:sz w:val="16"/>
                <w:szCs w:val="16"/>
                <w:color w:val="auto"/>
              </w:rPr>
              <w:t>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8"/>
              <w:spacing w:after="0"/>
              <w:rPr>
                <w:sz w:val="20"/>
                <w:szCs w:val="20"/>
                <w:color w:val="auto"/>
              </w:rPr>
            </w:pPr>
            <w:r>
              <w:rPr>
                <w:rFonts w:ascii="Arial" w:cs="Arial" w:eastAsia="Arial" w:hAnsi="Arial"/>
                <w:sz w:val="16"/>
                <w:szCs w:val="16"/>
                <w:color w:val="auto"/>
                <w:w w:val="89"/>
              </w:rPr>
              <w:t>2017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8"/>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Recognized in AOCI-</w:t>
            </w:r>
          </w:p>
        </w:tc>
        <w:tc>
          <w:tcPr>
            <w:tcW w:w="162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4140" w:type="dxa"/>
            <w:vAlign w:val="bottom"/>
          </w:tcPr>
          <w:p>
            <w:pPr>
              <w:ind w:left="140"/>
              <w:spacing w:after="0"/>
              <w:rPr>
                <w:sz w:val="20"/>
                <w:szCs w:val="20"/>
                <w:color w:val="auto"/>
              </w:rPr>
            </w:pPr>
            <w:r>
              <w:rPr>
                <w:rFonts w:ascii="Arial" w:cs="Arial" w:eastAsia="Arial" w:hAnsi="Arial"/>
                <w:sz w:val="16"/>
                <w:szCs w:val="16"/>
                <w:color w:val="auto"/>
              </w:rPr>
              <w:t>Gain (loss) before income taxes</w:t>
            </w:r>
          </w:p>
        </w:tc>
        <w:tc>
          <w:tcPr>
            <w:tcW w:w="2680" w:type="dxa"/>
            <w:vAlign w:val="bottom"/>
            <w:gridSpan w:val="2"/>
          </w:tcPr>
          <w:p>
            <w:pPr>
              <w:jc w:val="right"/>
              <w:ind w:right="901"/>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9,498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(984)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(5,743)</w:t>
            </w:r>
          </w:p>
        </w:tc>
        <w:tc>
          <w:tcPr>
            <w:tcW w:w="580" w:type="dxa"/>
            <w:vAlign w:val="bottom"/>
          </w:tcPr>
          <w:p>
            <w:pPr>
              <w:spacing w:after="0"/>
              <w:rPr>
                <w:sz w:val="17"/>
                <w:szCs w:val="17"/>
                <w:color w:val="auto"/>
              </w:rPr>
            </w:pPr>
          </w:p>
        </w:tc>
      </w:tr>
      <w:tr>
        <w:trPr>
          <w:trHeight w:val="196"/>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income tax provision (benefit)</w:t>
            </w:r>
          </w:p>
        </w:tc>
        <w:tc>
          <w:tcPr>
            <w:tcW w:w="1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(365)</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( 2,131)</w:t>
            </w:r>
          </w:p>
        </w:tc>
        <w:tc>
          <w:tcPr>
            <w:tcW w:w="580" w:type="dxa"/>
            <w:vAlign w:val="bottom"/>
          </w:tcPr>
          <w:p>
            <w:pPr>
              <w:spacing w:after="0"/>
              <w:rPr>
                <w:sz w:val="17"/>
                <w:szCs w:val="17"/>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8"/>
        </w:trPr>
        <w:tc>
          <w:tcPr>
            <w:tcW w:w="4140" w:type="dxa"/>
            <w:vAlign w:val="bottom"/>
          </w:tcPr>
          <w:p>
            <w:pPr>
              <w:ind w:left="140"/>
              <w:spacing w:after="0"/>
              <w:rPr>
                <w:sz w:val="20"/>
                <w:szCs w:val="20"/>
                <w:color w:val="auto"/>
              </w:rPr>
            </w:pPr>
            <w:r>
              <w:rPr>
                <w:rFonts w:ascii="Arial" w:cs="Arial" w:eastAsia="Arial" w:hAnsi="Arial"/>
                <w:sz w:val="16"/>
                <w:szCs w:val="16"/>
                <w:color w:val="auto"/>
              </w:rPr>
              <w:t>Net</w:t>
            </w: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(619)</w:t>
            </w:r>
          </w:p>
        </w:tc>
        <w:tc>
          <w:tcPr>
            <w:tcW w:w="32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(3,612)</w:t>
            </w:r>
          </w:p>
        </w:tc>
        <w:tc>
          <w:tcPr>
            <w:tcW w:w="580" w:type="dxa"/>
            <w:vAlign w:val="bottom"/>
          </w:tcPr>
          <w:p>
            <w:pPr>
              <w:spacing w:after="0"/>
              <w:rPr>
                <w:sz w:val="16"/>
                <w:szCs w:val="16"/>
                <w:color w:val="auto"/>
              </w:rPr>
            </w:pPr>
          </w:p>
        </w:tc>
      </w:tr>
      <w:tr>
        <w:trPr>
          <w:trHeight w:val="18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Reclassified from AOCI to cost of sales-</w:t>
            </w:r>
          </w:p>
        </w:tc>
        <w:tc>
          <w:tcPr>
            <w:tcW w:w="162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4140" w:type="dxa"/>
            <w:vAlign w:val="bottom"/>
          </w:tcPr>
          <w:p>
            <w:pPr>
              <w:ind w:left="140"/>
              <w:spacing w:after="0"/>
              <w:rPr>
                <w:sz w:val="20"/>
                <w:szCs w:val="20"/>
                <w:color w:val="auto"/>
              </w:rPr>
            </w:pPr>
            <w:r>
              <w:rPr>
                <w:rFonts w:ascii="Arial" w:cs="Arial" w:eastAsia="Arial" w:hAnsi="Arial"/>
                <w:sz w:val="16"/>
                <w:szCs w:val="16"/>
                <w:color w:val="auto"/>
              </w:rPr>
              <w:t>Gain (loss) before income taxes</w:t>
            </w: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2,569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(2,749)</w:t>
            </w:r>
          </w:p>
        </w:tc>
        <w:tc>
          <w:tcPr>
            <w:tcW w:w="3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(6,987)</w:t>
            </w:r>
          </w:p>
        </w:tc>
        <w:tc>
          <w:tcPr>
            <w:tcW w:w="580" w:type="dxa"/>
            <w:vAlign w:val="bottom"/>
          </w:tcPr>
          <w:p>
            <w:pPr>
              <w:spacing w:after="0"/>
              <w:rPr>
                <w:sz w:val="17"/>
                <w:szCs w:val="17"/>
                <w:color w:val="auto"/>
              </w:rPr>
            </w:pPr>
          </w:p>
        </w:tc>
      </w:tr>
      <w:tr>
        <w:trPr>
          <w:trHeight w:val="196"/>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income tax provision (benefit)</w:t>
            </w:r>
          </w:p>
        </w:tc>
        <w:tc>
          <w:tcPr>
            <w:tcW w:w="1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(1,020)</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(2,592)</w:t>
            </w:r>
          </w:p>
        </w:tc>
        <w:tc>
          <w:tcPr>
            <w:tcW w:w="580" w:type="dxa"/>
            <w:vAlign w:val="bottom"/>
          </w:tcPr>
          <w:p>
            <w:pPr>
              <w:spacing w:after="0"/>
              <w:rPr>
                <w:sz w:val="17"/>
                <w:szCs w:val="17"/>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8"/>
        </w:trPr>
        <w:tc>
          <w:tcPr>
            <w:tcW w:w="4140" w:type="dxa"/>
            <w:vAlign w:val="bottom"/>
          </w:tcPr>
          <w:p>
            <w:pPr>
              <w:ind w:left="140"/>
              <w:spacing w:after="0"/>
              <w:rPr>
                <w:sz w:val="20"/>
                <w:szCs w:val="20"/>
                <w:color w:val="auto"/>
              </w:rPr>
            </w:pPr>
            <w:r>
              <w:rPr>
                <w:rFonts w:ascii="Arial" w:cs="Arial" w:eastAsia="Arial" w:hAnsi="Arial"/>
                <w:sz w:val="16"/>
                <w:szCs w:val="16"/>
                <w:color w:val="auto"/>
              </w:rPr>
              <w:t>Net</w:t>
            </w: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(1,729)</w:t>
            </w:r>
          </w:p>
        </w:tc>
        <w:tc>
          <w:tcPr>
            <w:tcW w:w="32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(4,395)</w:t>
            </w:r>
          </w:p>
        </w:tc>
        <w:tc>
          <w:tcPr>
            <w:tcW w:w="580" w:type="dxa"/>
            <w:vAlign w:val="bottom"/>
          </w:tcPr>
          <w:p>
            <w:pPr>
              <w:spacing w:after="0"/>
              <w:rPr>
                <w:sz w:val="16"/>
                <w:szCs w:val="16"/>
                <w:color w:val="auto"/>
              </w:rPr>
            </w:pPr>
          </w:p>
        </w:tc>
      </w:tr>
      <w:tr>
        <w:trPr>
          <w:trHeight w:val="188"/>
        </w:trPr>
        <w:tc>
          <w:tcPr>
            <w:tcW w:w="414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Arial" w:cs="Arial" w:eastAsia="Arial" w:hAnsi="Arial"/>
                <w:sz w:val="16"/>
                <w:szCs w:val="16"/>
                <w:color w:val="auto"/>
              </w:rPr>
              <w:t>Net change to AOCI</w:t>
            </w:r>
          </w:p>
        </w:tc>
        <w:tc>
          <w:tcPr>
            <w:tcW w:w="1620" w:type="dxa"/>
            <w:vAlign w:val="bottom"/>
          </w:tcPr>
          <w:p>
            <w:pPr>
              <w:spacing w:after="0"/>
              <w:rPr>
                <w:sz w:val="16"/>
                <w:szCs w:val="16"/>
                <w:color w:val="auto"/>
              </w:rPr>
            </w:pPr>
          </w:p>
        </w:tc>
        <w:tc>
          <w:tcPr>
            <w:tcW w:w="1060" w:type="dxa"/>
            <w:vAlign w:val="bottom"/>
          </w:tcPr>
          <w:p>
            <w:pPr>
              <w:jc w:val="right"/>
              <w:ind w:right="901"/>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5,227</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1,110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783</w:t>
            </w:r>
          </w:p>
        </w:tc>
        <w:tc>
          <w:tcPr>
            <w:tcW w:w="580" w:type="dxa"/>
            <w:vAlign w:val="bottom"/>
          </w:tcPr>
          <w:p>
            <w:pPr>
              <w:spacing w:after="0"/>
              <w:rPr>
                <w:sz w:val="16"/>
                <w:szCs w:val="16"/>
                <w:color w:val="auto"/>
              </w:rPr>
            </w:pPr>
          </w:p>
        </w:tc>
      </w:tr>
      <w:tr>
        <w:trPr>
          <w:trHeight w:val="20"/>
        </w:trPr>
        <w:tc>
          <w:tcPr>
            <w:tcW w:w="4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7"/>
        </w:trPr>
        <w:tc>
          <w:tcPr>
            <w:tcW w:w="4140" w:type="dxa"/>
            <w:vAlign w:val="bottom"/>
          </w:tcPr>
          <w:p>
            <w:pPr>
              <w:spacing w:after="0"/>
              <w:rPr>
                <w:sz w:val="24"/>
                <w:szCs w:val="24"/>
                <w:color w:val="auto"/>
              </w:rPr>
            </w:pPr>
          </w:p>
        </w:tc>
        <w:tc>
          <w:tcPr>
            <w:tcW w:w="2680" w:type="dxa"/>
            <w:vAlign w:val="bottom"/>
            <w:gridSpan w:val="2"/>
          </w:tcPr>
          <w:p>
            <w:pPr>
              <w:jc w:val="right"/>
              <w:ind w:right="941"/>
              <w:spacing w:after="0"/>
              <w:rPr>
                <w:sz w:val="20"/>
                <w:szCs w:val="20"/>
                <w:color w:val="auto"/>
              </w:rPr>
            </w:pPr>
            <w:r>
              <w:rPr>
                <w:rFonts w:ascii="Arial" w:cs="Arial" w:eastAsia="Arial" w:hAnsi="Arial"/>
                <w:sz w:val="16"/>
                <w:szCs w:val="16"/>
                <w:color w:val="auto"/>
              </w:rPr>
              <w:t>35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3"/>
        </w:trPr>
        <w:tc>
          <w:tcPr>
            <w:tcW w:w="41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ectPr>
          <w:pgSz w:w="11900" w:h="16838" w:orient="portrait"/>
          <w:cols w:equalWidth="0" w:num="1">
            <w:col w:w="11442"/>
          </w:cols>
          <w:pgMar w:left="238" w:top="120" w:right="219" w:bottom="1440" w:gutter="0" w:footer="0" w:header="0"/>
        </w:sectPr>
      </w:pPr>
    </w:p>
    <w:bookmarkStart w:id="36" w:name="page37"/>
    <w:bookmarkEnd w:id="3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As of April 28, 2018, the notional amount of our outstanding aluminum swap contracts was $37.5 million and, assuming no change in the commodity prices, $6.2 million of unrealized gain before tax will be reclassified from AOCI and recognized in earnings over the next 12 months. See Note 1.</w:t>
      </w:r>
    </w:p>
    <w:p>
      <w:pPr>
        <w:spacing w:after="0" w:line="151"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As of April 28, 2018, the fair value of the derivative asset was $6.2 million, which was included in prepaid and other assets. As of April 29, 2017, the fair value of the derivative asset, derivative liability and derivative long-term liability was $602 thousand, $848 thousand and $476 thousand, which was included in prepaid and other assets, accrued liabilities and other liabilities, respectively. Such valuation does not entail a significant amount of judgment and the inputs that are significant to the fair value measurement are Level 2 as defined by the fair value hierarchy as they are observable market based inputs or unobservable inputs that are corroborated by market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20"/>
                <w:szCs w:val="20"/>
                <w:color w:val="auto"/>
              </w:rPr>
            </w:pPr>
            <w:r>
              <w:rPr>
                <w:rFonts w:ascii="Arial" w:cs="Arial" w:eastAsia="Arial" w:hAnsi="Arial"/>
                <w:sz w:val="16"/>
                <w:szCs w:val="16"/>
                <w:b w:val="1"/>
                <w:bCs w:val="1"/>
                <w:color w:val="auto"/>
              </w:rPr>
              <w:t>7.</w:t>
            </w:r>
          </w:p>
        </w:tc>
        <w:tc>
          <w:tcPr>
            <w:tcW w:w="4640" w:type="dxa"/>
            <w:vAlign w:val="bottom"/>
          </w:tcPr>
          <w:p>
            <w:pPr>
              <w:ind w:left="60"/>
              <w:spacing w:after="0"/>
              <w:rPr>
                <w:sz w:val="20"/>
                <w:szCs w:val="20"/>
                <w:color w:val="auto"/>
              </w:rPr>
            </w:pPr>
            <w:r>
              <w:rPr>
                <w:rFonts w:ascii="Arial" w:cs="Arial" w:eastAsia="Arial" w:hAnsi="Arial"/>
                <w:sz w:val="16"/>
                <w:szCs w:val="16"/>
                <w:b w:val="1"/>
                <w:bCs w:val="1"/>
                <w:color w:val="auto"/>
              </w:rPr>
              <w:t>INCOME TAXES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5020" w:type="dxa"/>
            <w:vAlign w:val="bottom"/>
            <w:gridSpan w:val="2"/>
          </w:tcPr>
          <w:p>
            <w:pPr>
              <w:spacing w:after="0"/>
              <w:rPr>
                <w:sz w:val="20"/>
                <w:szCs w:val="20"/>
                <w:color w:val="auto"/>
              </w:rPr>
            </w:pPr>
            <w:r>
              <w:rPr>
                <w:rFonts w:ascii="Arial" w:cs="Arial" w:eastAsia="Arial" w:hAnsi="Arial"/>
                <w:sz w:val="16"/>
                <w:szCs w:val="16"/>
                <w:color w:val="auto"/>
              </w:rPr>
              <w:t>The provision (benefit) for income taxes consisted of the following:</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91"/>
              </w:rPr>
              <w:t>(In thousands)</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3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6"/>
                <w:szCs w:val="16"/>
                <w:color w:val="auto"/>
              </w:rPr>
              <w:t>Fiscal</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7" w:lineRule="exact"/>
              <w:rPr>
                <w:sz w:val="20"/>
                <w:szCs w:val="20"/>
                <w:color w:val="auto"/>
              </w:rPr>
            </w:pPr>
            <w:r>
              <w:rPr>
                <w:rFonts w:ascii="Arial" w:cs="Arial" w:eastAsia="Arial" w:hAnsi="Arial"/>
                <w:sz w:val="16"/>
                <w:szCs w:val="16"/>
                <w:color w:val="auto"/>
                <w:w w:val="95"/>
              </w:rPr>
              <w:t>Fiscal</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58"/>
              <w:spacing w:after="0" w:line="177" w:lineRule="exact"/>
              <w:rPr>
                <w:sz w:val="20"/>
                <w:szCs w:val="20"/>
                <w:color w:val="auto"/>
              </w:rPr>
            </w:pPr>
            <w:r>
              <w:rPr>
                <w:rFonts w:ascii="Arial" w:cs="Arial" w:eastAsia="Arial" w:hAnsi="Arial"/>
                <w:sz w:val="16"/>
                <w:szCs w:val="16"/>
                <w:color w:val="auto"/>
              </w:rPr>
              <w:t>Fiscal</w:t>
            </w:r>
          </w:p>
        </w:tc>
        <w:tc>
          <w:tcPr>
            <w:tcW w:w="120" w:type="dxa"/>
            <w:vAlign w:val="bottom"/>
          </w:tcPr>
          <w:p>
            <w:pPr>
              <w:spacing w:after="0"/>
              <w:rPr>
                <w:sz w:val="15"/>
                <w:szCs w:val="15"/>
                <w:color w:val="auto"/>
              </w:rPr>
            </w:pPr>
          </w:p>
        </w:tc>
      </w:tr>
      <w:tr>
        <w:trPr>
          <w:trHeight w:val="208"/>
        </w:trPr>
        <w:tc>
          <w:tcPr>
            <w:tcW w:w="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2018</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r>
      <w:tr>
        <w:trPr>
          <w:trHeight w:val="189"/>
        </w:trPr>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w:t>
            </w:r>
          </w:p>
        </w:tc>
        <w:tc>
          <w:tcPr>
            <w:tcW w:w="2400" w:type="dxa"/>
            <w:vAlign w:val="bottom"/>
            <w:gridSpan w:val="2"/>
            <w:shd w:val="clear" w:color="auto" w:fill="CCEEFF"/>
          </w:tcPr>
          <w:p>
            <w:pPr>
              <w:jc w:val="right"/>
              <w:ind w:right="838"/>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55,039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32,806</w:t>
            </w:r>
          </w:p>
        </w:tc>
      </w:tr>
      <w:tr>
        <w:trPr>
          <w:trHeight w:val="196"/>
        </w:trPr>
        <w:tc>
          <w:tcPr>
            <w:tcW w:w="5020" w:type="dxa"/>
            <w:vAlign w:val="bottom"/>
            <w:gridSpan w:val="2"/>
          </w:tcPr>
          <w:p>
            <w:pPr>
              <w:spacing w:after="0"/>
              <w:rPr>
                <w:sz w:val="20"/>
                <w:szCs w:val="20"/>
                <w:color w:val="auto"/>
              </w:rPr>
            </w:pPr>
            <w:r>
              <w:rPr>
                <w:rFonts w:ascii="Arial" w:cs="Arial" w:eastAsia="Arial" w:hAnsi="Arial"/>
                <w:sz w:val="16"/>
                <w:szCs w:val="16"/>
                <w:color w:val="auto"/>
              </w:rPr>
              <w:t>Deferred</w:t>
            </w: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(1,299)</w:t>
            </w:r>
          </w:p>
        </w:tc>
      </w:tr>
      <w:tr>
        <w:trPr>
          <w:trHeight w:val="20"/>
        </w:trPr>
        <w:tc>
          <w:tcPr>
            <w:tcW w:w="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46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838"/>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55,715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31,507</w:t>
            </w:r>
          </w:p>
        </w:tc>
      </w:tr>
      <w:tr>
        <w:trPr>
          <w:trHeight w:val="367"/>
        </w:trPr>
        <w:tc>
          <w:tcPr>
            <w:tcW w:w="380" w:type="dxa"/>
            <w:vAlign w:val="bottom"/>
            <w:tcBorders>
              <w:top w:val="single" w:sz="8" w:color="CCEEFF"/>
            </w:tcBorders>
          </w:tcPr>
          <w:p>
            <w:pPr>
              <w:spacing w:after="0"/>
              <w:rPr>
                <w:sz w:val="24"/>
                <w:szCs w:val="24"/>
                <w:color w:val="auto"/>
              </w:rPr>
            </w:pPr>
          </w:p>
        </w:tc>
        <w:tc>
          <w:tcPr>
            <w:tcW w:w="464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jc w:val="right"/>
              <w:ind w:right="538"/>
              <w:spacing w:after="0"/>
              <w:rPr>
                <w:sz w:val="20"/>
                <w:szCs w:val="20"/>
                <w:color w:val="auto"/>
              </w:rPr>
            </w:pPr>
            <w:r>
              <w:rPr>
                <w:rFonts w:ascii="Arial" w:cs="Arial" w:eastAsia="Arial" w:hAnsi="Arial"/>
                <w:sz w:val="16"/>
                <w:szCs w:val="16"/>
                <w:color w:val="auto"/>
              </w:rPr>
              <w:t>36</w:t>
            </w: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03"/>
        </w:trPr>
        <w:tc>
          <w:tcPr>
            <w:tcW w:w="38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37" w:name="page38"/>
    <w:bookmarkEnd w:id="3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Deferred taxes are recorded to give recognition to temporary differences between the tax bases of assets or liabilities and their reported amounts in the financial statements. Valuation allowances are established to reduce the carrying amounts of deferred tax assets when it is deemed more likely than not that the benefit of deferred tax assets will not be realized. Deferred tax assets and liabilities as of April 28, 2018 and April 29, 2017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(In thousands)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9"/>
        </w:trPr>
        <w:tc>
          <w:tcPr>
            <w:tcW w:w="6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2018</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6320" w:type="dxa"/>
            <w:vAlign w:val="bottom"/>
          </w:tcPr>
          <w:p>
            <w:pPr>
              <w:ind w:left="140"/>
              <w:spacing w:after="0"/>
              <w:rPr>
                <w:sz w:val="20"/>
                <w:szCs w:val="20"/>
                <w:color w:val="auto"/>
              </w:rPr>
            </w:pPr>
            <w:r>
              <w:rPr>
                <w:rFonts w:ascii="Arial" w:cs="Arial" w:eastAsia="Arial" w:hAnsi="Arial"/>
                <w:sz w:val="16"/>
                <w:szCs w:val="16"/>
                <w:color w:val="auto"/>
              </w:rPr>
              <w:t>Accrued expenses and other</w:t>
            </w:r>
          </w:p>
        </w:tc>
        <w:tc>
          <w:tcPr>
            <w:tcW w:w="14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2,900</w:t>
            </w:r>
          </w:p>
        </w:tc>
        <w:tc>
          <w:tcPr>
            <w:tcW w:w="220" w:type="dxa"/>
            <w:vAlign w:val="bottom"/>
          </w:tcPr>
          <w:p>
            <w:pPr>
              <w:spacing w:after="0"/>
              <w:rPr>
                <w:sz w:val="17"/>
                <w:szCs w:val="17"/>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4,740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Inventory and amortizable assets</w:t>
            </w:r>
          </w:p>
        </w:tc>
        <w:tc>
          <w:tcPr>
            <w:tcW w:w="1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6320" w:type="dxa"/>
            <w:vAlign w:val="bottom"/>
          </w:tcPr>
          <w:p>
            <w:pPr>
              <w:ind w:left="140"/>
              <w:spacing w:after="0"/>
              <w:rPr>
                <w:sz w:val="20"/>
                <w:szCs w:val="20"/>
                <w:color w:val="auto"/>
              </w:rPr>
            </w:pPr>
            <w:r>
              <w:rPr>
                <w:rFonts w:ascii="Arial" w:cs="Arial" w:eastAsia="Arial" w:hAnsi="Arial"/>
                <w:sz w:val="16"/>
                <w:szCs w:val="16"/>
                <w:color w:val="auto"/>
              </w:rPr>
              <w:t>Total deferred tax assets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3,231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5,278</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1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6320" w:type="dxa"/>
            <w:vAlign w:val="bottom"/>
          </w:tcPr>
          <w:p>
            <w:pPr>
              <w:ind w:left="140"/>
              <w:spacing w:after="0"/>
              <w:rPr>
                <w:sz w:val="20"/>
                <w:szCs w:val="20"/>
                <w:color w:val="auto"/>
              </w:rPr>
            </w:pPr>
            <w:r>
              <w:rPr>
                <w:rFonts w:ascii="Arial" w:cs="Arial" w:eastAsia="Arial" w:hAnsi="Arial"/>
                <w:sz w:val="16"/>
                <w:szCs w:val="16"/>
                <w:color w:val="auto"/>
              </w:rPr>
              <w:t>Property</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14,858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15,157</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Intangibles and other</w:t>
            </w:r>
          </w:p>
        </w:tc>
        <w:tc>
          <w:tcPr>
            <w:tcW w:w="1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6320" w:type="dxa"/>
            <w:vAlign w:val="bottom"/>
          </w:tcPr>
          <w:p>
            <w:pPr>
              <w:ind w:left="140"/>
              <w:spacing w:after="0"/>
              <w:rPr>
                <w:sz w:val="20"/>
                <w:szCs w:val="20"/>
                <w:color w:val="auto"/>
              </w:rPr>
            </w:pPr>
            <w:r>
              <w:rPr>
                <w:rFonts w:ascii="Arial" w:cs="Arial" w:eastAsia="Arial" w:hAnsi="Arial"/>
                <w:sz w:val="16"/>
                <w:szCs w:val="16"/>
                <w:color w:val="auto"/>
              </w:rPr>
              <w:t>Total deferred tax liabilities</w:t>
            </w:r>
          </w:p>
        </w:tc>
        <w:tc>
          <w:tcPr>
            <w:tcW w:w="1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Net deferred tax liabilities</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14,502</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12,087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67"/>
        </w:trPr>
        <w:tc>
          <w:tcPr>
            <w:tcW w:w="6320" w:type="dxa"/>
            <w:vAlign w:val="bottom"/>
            <w:tcBorders>
              <w:top w:val="single" w:sz="8" w:color="CCEEFF"/>
            </w:tcBorders>
          </w:tcPr>
          <w:p>
            <w:pPr>
              <w:spacing w:after="0"/>
              <w:rPr>
                <w:sz w:val="20"/>
                <w:szCs w:val="20"/>
                <w:color w:val="auto"/>
              </w:rPr>
            </w:pPr>
            <w:r>
              <w:rPr>
                <w:rFonts w:ascii="Arial" w:cs="Arial" w:eastAsia="Arial" w:hAnsi="Arial"/>
                <w:sz w:val="16"/>
                <w:szCs w:val="16"/>
                <w:color w:val="auto"/>
                <w:w w:val="94"/>
              </w:rPr>
              <w:t>The reconciliation of the statutory federal income tax rate to our effective tax rate is as follows:</w:t>
            </w:r>
          </w:p>
        </w:tc>
        <w:tc>
          <w:tcPr>
            <w:tcW w:w="1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0"/>
        </w:trPr>
        <w:tc>
          <w:tcPr>
            <w:tcW w:w="6320" w:type="dxa"/>
            <w:vAlign w:val="bottom"/>
          </w:tcPr>
          <w:p>
            <w:pPr>
              <w:spacing w:after="0"/>
              <w:rPr>
                <w:sz w:val="24"/>
                <w:szCs w:val="24"/>
                <w:color w:val="auto"/>
              </w:rPr>
            </w:pPr>
          </w:p>
        </w:tc>
        <w:tc>
          <w:tcPr>
            <w:tcW w:w="2180" w:type="dxa"/>
            <w:vAlign w:val="bottom"/>
            <w:gridSpan w:val="4"/>
          </w:tcPr>
          <w:p>
            <w:pPr>
              <w:jc w:val="center"/>
              <w:ind w:right="680"/>
              <w:spacing w:after="0"/>
              <w:rPr>
                <w:sz w:val="20"/>
                <w:szCs w:val="20"/>
                <w:color w:val="auto"/>
              </w:rPr>
            </w:pPr>
            <w:r>
              <w:rPr>
                <w:rFonts w:ascii="Arial" w:cs="Arial" w:eastAsia="Arial" w:hAnsi="Arial"/>
                <w:sz w:val="16"/>
                <w:szCs w:val="16"/>
                <w:color w:val="auto"/>
                <w:w w:val="90"/>
              </w:rPr>
              <w:t>Fiscal</w:t>
            </w: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Fiscal</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4"/>
          </w:tcPr>
          <w:p>
            <w:pPr>
              <w:jc w:val="right"/>
              <w:ind w:right="700"/>
              <w:spacing w:after="0"/>
              <w:rPr>
                <w:sz w:val="20"/>
                <w:szCs w:val="20"/>
                <w:color w:val="auto"/>
              </w:rPr>
            </w:pPr>
            <w:r>
              <w:rPr>
                <w:rFonts w:ascii="Arial" w:cs="Arial" w:eastAsia="Arial" w:hAnsi="Arial"/>
                <w:sz w:val="16"/>
                <w:szCs w:val="16"/>
                <w:color w:val="auto"/>
              </w:rPr>
              <w:t>Fiscal</w:t>
            </w:r>
          </w:p>
        </w:tc>
      </w:tr>
      <w:tr>
        <w:trPr>
          <w:trHeight w:val="208"/>
        </w:trPr>
        <w:tc>
          <w:tcPr>
            <w:tcW w:w="6320" w:type="dxa"/>
            <w:vAlign w:val="bottom"/>
          </w:tcPr>
          <w:p>
            <w:pPr>
              <w:spacing w:after="0"/>
              <w:rPr>
                <w:sz w:val="18"/>
                <w:szCs w:val="18"/>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9"/>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Statutory federal income tax rate</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30.4%</w:t>
            </w: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35.0%</w:t>
            </w:r>
          </w:p>
        </w:tc>
        <w:tc>
          <w:tcPr>
            <w:tcW w:w="16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r>
      <w:tr>
        <w:trPr>
          <w:trHeight w:val="196"/>
        </w:trPr>
        <w:tc>
          <w:tcPr>
            <w:tcW w:w="632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2.2</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r>
      <w:tr>
        <w:trPr>
          <w:trHeight w:val="196"/>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Domestic manufacturing deduction benefit</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7"/>
              </w:rPr>
              <w:t>(3.0)</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r>
      <w:tr>
        <w:trPr>
          <w:trHeight w:val="196"/>
        </w:trPr>
        <w:tc>
          <w:tcPr>
            <w:tcW w:w="6320" w:type="dxa"/>
            <w:vAlign w:val="bottom"/>
          </w:tcPr>
          <w:p>
            <w:pPr>
              <w:spacing w:after="0"/>
              <w:rPr>
                <w:sz w:val="20"/>
                <w:szCs w:val="20"/>
                <w:color w:val="auto"/>
              </w:rPr>
            </w:pPr>
            <w:r>
              <w:rPr>
                <w:rFonts w:ascii="Arial" w:cs="Arial" w:eastAsia="Arial" w:hAnsi="Arial"/>
                <w:sz w:val="16"/>
                <w:szCs w:val="16"/>
                <w:color w:val="auto"/>
              </w:rPr>
              <w:t>Remeasurement of deferred taxes</w:t>
            </w:r>
          </w:p>
        </w:tc>
        <w:tc>
          <w:tcPr>
            <w:tcW w:w="1740" w:type="dxa"/>
            <w:vAlign w:val="bottom"/>
            <w:gridSpan w:val="3"/>
          </w:tcPr>
          <w:p>
            <w:pPr>
              <w:jc w:val="right"/>
              <w:ind w:right="200"/>
              <w:spacing w:after="0"/>
              <w:rPr>
                <w:sz w:val="20"/>
                <w:szCs w:val="20"/>
                <w:color w:val="auto"/>
              </w:rPr>
            </w:pPr>
            <w:r>
              <w:rPr>
                <w:rFonts w:ascii="Arial" w:cs="Arial" w:eastAsia="Arial" w:hAnsi="Arial"/>
                <w:sz w:val="16"/>
                <w:szCs w:val="16"/>
                <w:color w:val="auto"/>
              </w:rPr>
              <w:t>(2.9)</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6"/>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Other differences</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0"/>
        </w:trPr>
        <w:tc>
          <w:tcPr>
            <w:tcW w:w="6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8"/>
        </w:trPr>
        <w:tc>
          <w:tcPr>
            <w:tcW w:w="6320" w:type="dxa"/>
            <w:vAlign w:val="bottom"/>
          </w:tcPr>
          <w:p>
            <w:pPr>
              <w:spacing w:after="0"/>
              <w:rPr>
                <w:sz w:val="20"/>
                <w:szCs w:val="20"/>
                <w:color w:val="auto"/>
              </w:rPr>
            </w:pPr>
            <w:r>
              <w:rPr>
                <w:rFonts w:ascii="Arial" w:cs="Arial" w:eastAsia="Arial" w:hAnsi="Arial"/>
                <w:sz w:val="16"/>
                <w:szCs w:val="16"/>
                <w:color w:val="auto"/>
              </w:rPr>
              <w:t>Effective income tax rate</w:t>
            </w:r>
          </w:p>
        </w:tc>
        <w:tc>
          <w:tcPr>
            <w:tcW w:w="1740" w:type="dxa"/>
            <w:vAlign w:val="bottom"/>
            <w:gridSpan w:val="3"/>
          </w:tcPr>
          <w:p>
            <w:pPr>
              <w:jc w:val="right"/>
              <w:ind w:right="120"/>
              <w:spacing w:after="0"/>
              <w:rPr>
                <w:sz w:val="20"/>
                <w:szCs w:val="20"/>
                <w:color w:val="auto"/>
              </w:rPr>
            </w:pPr>
            <w:r>
              <w:rPr>
                <w:rFonts w:ascii="Arial" w:cs="Arial" w:eastAsia="Arial" w:hAnsi="Arial"/>
                <w:sz w:val="16"/>
                <w:szCs w:val="16"/>
                <w:color w:val="auto"/>
              </w:rPr>
              <w:t>27.1%</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34.3%</w:t>
            </w:r>
          </w:p>
        </w:tc>
        <w:tc>
          <w:tcPr>
            <w:tcW w:w="1640" w:type="dxa"/>
            <w:vAlign w:val="bottom"/>
            <w:gridSpan w:val="4"/>
          </w:tcPr>
          <w:p>
            <w:pPr>
              <w:jc w:val="right"/>
              <w:ind w:right="20"/>
              <w:spacing w:after="0"/>
              <w:rPr>
                <w:sz w:val="20"/>
                <w:szCs w:val="20"/>
                <w:color w:val="auto"/>
              </w:rPr>
            </w:pPr>
            <w:r>
              <w:rPr>
                <w:rFonts w:ascii="Arial" w:cs="Arial" w:eastAsia="Arial" w:hAnsi="Arial"/>
                <w:sz w:val="16"/>
                <w:szCs w:val="16"/>
                <w:color w:val="auto"/>
              </w:rPr>
              <w:t>34.0%</w:t>
            </w:r>
          </w:p>
        </w:tc>
      </w:tr>
      <w:tr>
        <w:trPr>
          <w:trHeight w:val="20"/>
        </w:trPr>
        <w:tc>
          <w:tcPr>
            <w:tcW w:w="6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As of April 28, 2018, the gross amount of unrecognized tax benefits was $1.7 million and $191 thousand was recognized as a tax expense in Fiscal 2018. If we were to prevail on all uncertain tax positions, the net effect would be to reduce our tax expense by approximately $1.4 million. A reconciliation of the changes in the gross amount of unrecognized tax benefits, which amounts are included in other liabilities in the accompanying consolidated balance sheets,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1"/>
              </w:rPr>
              <w:t>(In thousands)</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7"/>
        </w:trPr>
        <w:tc>
          <w:tcPr>
            <w:tcW w:w="6420" w:type="dxa"/>
            <w:vAlign w:val="bottom"/>
          </w:tcPr>
          <w:p>
            <w:pPr>
              <w:spacing w:after="0"/>
              <w:rPr>
                <w:sz w:val="15"/>
                <w:szCs w:val="15"/>
                <w:color w:val="auto"/>
              </w:rPr>
            </w:pPr>
          </w:p>
        </w:tc>
        <w:tc>
          <w:tcPr>
            <w:tcW w:w="1040" w:type="dxa"/>
            <w:vAlign w:val="bottom"/>
          </w:tcPr>
          <w:p>
            <w:pPr>
              <w:jc w:val="right"/>
              <w:ind w:right="21"/>
              <w:spacing w:after="0" w:line="177" w:lineRule="exact"/>
              <w:rPr>
                <w:sz w:val="20"/>
                <w:szCs w:val="20"/>
                <w:color w:val="auto"/>
              </w:rPr>
            </w:pPr>
            <w:r>
              <w:rPr>
                <w:rFonts w:ascii="Arial" w:cs="Arial" w:eastAsia="Arial" w:hAnsi="Arial"/>
                <w:sz w:val="16"/>
                <w:szCs w:val="16"/>
                <w:color w:val="auto"/>
              </w:rPr>
              <w:t>Fiscal</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300"/>
              <w:spacing w:after="0" w:line="177" w:lineRule="exact"/>
              <w:rPr>
                <w:sz w:val="20"/>
                <w:szCs w:val="20"/>
                <w:color w:val="auto"/>
              </w:rPr>
            </w:pPr>
            <w:r>
              <w:rPr>
                <w:rFonts w:ascii="Arial" w:cs="Arial" w:eastAsia="Arial" w:hAnsi="Arial"/>
                <w:sz w:val="16"/>
                <w:szCs w:val="16"/>
                <w:color w:val="auto"/>
                <w:w w:val="95"/>
              </w:rPr>
              <w:t>Fiscal</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58"/>
              <w:spacing w:after="0" w:line="177" w:lineRule="exact"/>
              <w:rPr>
                <w:sz w:val="20"/>
                <w:szCs w:val="20"/>
                <w:color w:val="auto"/>
              </w:rPr>
            </w:pPr>
            <w:r>
              <w:rPr>
                <w:rFonts w:ascii="Arial" w:cs="Arial" w:eastAsia="Arial" w:hAnsi="Arial"/>
                <w:sz w:val="16"/>
                <w:szCs w:val="16"/>
                <w:color w:val="auto"/>
              </w:rPr>
              <w:t>Fiscal</w:t>
            </w:r>
          </w:p>
        </w:tc>
        <w:tc>
          <w:tcPr>
            <w:tcW w:w="120" w:type="dxa"/>
            <w:vAlign w:val="bottom"/>
          </w:tcPr>
          <w:p>
            <w:pPr>
              <w:spacing w:after="0"/>
              <w:rPr>
                <w:sz w:val="15"/>
                <w:szCs w:val="15"/>
                <w:color w:val="auto"/>
              </w:rPr>
            </w:pPr>
          </w:p>
        </w:tc>
      </w:tr>
      <w:tr>
        <w:trPr>
          <w:trHeight w:val="208"/>
        </w:trPr>
        <w:tc>
          <w:tcPr>
            <w:tcW w:w="6420" w:type="dxa"/>
            <w:vAlign w:val="bottom"/>
          </w:tcPr>
          <w:p>
            <w:pPr>
              <w:spacing w:after="0"/>
              <w:rPr>
                <w:sz w:val="18"/>
                <w:szCs w:val="18"/>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2018</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040" w:type="dxa"/>
            <w:vAlign w:val="bottom"/>
            <w:shd w:val="clear" w:color="auto" w:fill="CCEEFF"/>
          </w:tcPr>
          <w:p>
            <w:pPr>
              <w:jc w:val="right"/>
              <w:ind w:right="88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1,801</w:t>
            </w: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Increases due to current period tax positions</w:t>
            </w:r>
          </w:p>
        </w:tc>
        <w:tc>
          <w:tcPr>
            <w:tcW w:w="104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145</w:t>
            </w:r>
          </w:p>
        </w:tc>
      </w:tr>
      <w:tr>
        <w:trPr>
          <w:trHeight w:val="19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Decreases due to lapse of statute of limitations and audit resolutions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w:t>
            </w:r>
          </w:p>
        </w:tc>
      </w:tr>
      <w:tr>
        <w:trPr>
          <w:trHeight w:val="20"/>
        </w:trPr>
        <w:tc>
          <w:tcPr>
            <w:tcW w:w="64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8"/>
        </w:trPr>
        <w:tc>
          <w:tcPr>
            <w:tcW w:w="6420" w:type="dxa"/>
            <w:vAlign w:val="bottom"/>
          </w:tcPr>
          <w:p>
            <w:pPr>
              <w:spacing w:after="0"/>
              <w:rPr>
                <w:sz w:val="20"/>
                <w:szCs w:val="20"/>
                <w:color w:val="auto"/>
              </w:rPr>
            </w:pPr>
            <w:r>
              <w:rPr>
                <w:rFonts w:ascii="Arial" w:cs="Arial" w:eastAsia="Arial" w:hAnsi="Arial"/>
                <w:sz w:val="16"/>
                <w:szCs w:val="16"/>
                <w:color w:val="auto"/>
              </w:rPr>
              <w:t>Ending balance</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1,733</w:t>
            </w:r>
          </w:p>
        </w:tc>
        <w:tc>
          <w:tcPr>
            <w:tcW w:w="22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1,743</w:t>
            </w:r>
          </w:p>
        </w:tc>
        <w:tc>
          <w:tcPr>
            <w:tcW w:w="14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1,678</w:t>
            </w:r>
          </w:p>
        </w:tc>
      </w:tr>
      <w:tr>
        <w:trPr>
          <w:trHeight w:val="20"/>
        </w:trPr>
        <w:tc>
          <w:tcPr>
            <w:tcW w:w="6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We recognize accrued interest and penalties related to unrecognized tax benefits in income tax expense. As of April 28, 2018, unrecognized tax benefits included accrued interest of $238 thousand.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38" w:name="page39"/>
    <w:bookmarkEnd w:id="38"/>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6"/>
          <w:szCs w:val="16"/>
          <w:color w:val="auto"/>
        </w:rPr>
        <w:t>On December 22, 2017, the Tax Cuts and Jobs Act (the “Tax Act”) was enacted into law. The Tax Act makes changes to the U.S. tax code, including reducing the U.S. federal tax rate from 35% to 21% effective January 1, 2018. The phasing in of the lower corporate income tax rate results in a blended federal statutory rate of 30.4% for our fiscal 2018, compared with the previous 35% rate. The federal statutory tax rate will be reduced to 21% in subsequent fiscal years. Included in the effective tax rate for Fiscal 2018 is a one-time adjustment reducing income tax expense to remeasure previous deferred tax liabilities of $4.3 million.</w:t>
      </w:r>
    </w:p>
    <w:p>
      <w:pPr>
        <w:spacing w:after="0" w:line="167"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We file annual income tax returns in the United States and in various state and local jurisdictions. A number of years may elapse before an uncertain tax position, for which we have unrecognized tax benefits, is resolved. While it is often difficult to predict the final outcome or the timing of resolution of any particular uncertain tax position, we believe that our unrecognized tax benefits reflect the most probable outcome. We adjust these unrecognized tax benefits, as well as the related interest, in light of changing facts and circumstances. The resolution of any particular uncertain tax position could require the use of cash and an adjustment to our provision for income taxes in the period of resolution. Federal income tax returns for fiscal years subsequent to 2015 are subject to examination. Generally, the income tax returns for the various state jurisdictions are subject to examination for fiscal years ending after fiscal 2011.</w:t>
      </w:r>
    </w:p>
    <w:p>
      <w:pPr>
        <w:spacing w:after="0" w:line="387" w:lineRule="exact"/>
        <w:rPr>
          <w:sz w:val="20"/>
          <w:szCs w:val="20"/>
          <w:color w:val="auto"/>
        </w:rPr>
      </w:pPr>
    </w:p>
    <w:p>
      <w:pPr>
        <w:ind w:left="442" w:hanging="442"/>
        <w:spacing w:after="0"/>
        <w:tabs>
          <w:tab w:leader="none" w:pos="44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212" w:lineRule="exact"/>
        <w:rPr>
          <w:sz w:val="20"/>
          <w:szCs w:val="20"/>
          <w:color w:val="auto"/>
        </w:rPr>
      </w:pPr>
    </w:p>
    <w:p>
      <w:pPr>
        <w:jc w:val="both"/>
        <w:ind w:left="2" w:right="20"/>
        <w:spacing w:after="0" w:line="285" w:lineRule="auto"/>
        <w:rPr>
          <w:sz w:val="20"/>
          <w:szCs w:val="20"/>
          <w:color w:val="auto"/>
        </w:rPr>
      </w:pPr>
      <w:r>
        <w:rPr>
          <w:rFonts w:ascii="Arial" w:cs="Arial" w:eastAsia="Arial" w:hAnsi="Arial"/>
          <w:sz w:val="16"/>
          <w:szCs w:val="16"/>
          <w:color w:val="auto"/>
        </w:rPr>
        <w:t>Our stock-based compensation program is a broad-based program designed to attract and retain personnel while also aligning participant’s interests with the interests of the shareholders.</w:t>
      </w:r>
    </w:p>
    <w:p>
      <w:pPr>
        <w:spacing w:after="0" w:line="151" w:lineRule="exact"/>
        <w:rPr>
          <w:sz w:val="20"/>
          <w:szCs w:val="20"/>
          <w:color w:val="auto"/>
        </w:rPr>
      </w:pPr>
    </w:p>
    <w:p>
      <w:pPr>
        <w:jc w:val="both"/>
        <w:ind w:left="2" w:right="20"/>
        <w:spacing w:after="0" w:line="260" w:lineRule="auto"/>
        <w:rPr>
          <w:sz w:val="20"/>
          <w:szCs w:val="20"/>
          <w:color w:val="auto"/>
        </w:rPr>
      </w:pPr>
      <w:r>
        <w:rPr>
          <w:rFonts w:ascii="Arial" w:cs="Arial" w:eastAsia="Arial" w:hAnsi="Arial"/>
          <w:sz w:val="16"/>
          <w:szCs w:val="16"/>
          <w:color w:val="auto"/>
        </w:rPr>
        <w:t>The 1991 Omnibus Incentive Plan (the “Omnibus Plan”) provides for compensatory awards consisting of (i) stock options or stock awards for up to 4,800,000 shares of common stock, (ii) stock appreciation rights, dividend equivalents, other stock-based awards in amounts up to 4,800,000 shares of common stock and (iii) performance awards consisting of any combination of the above. The Omnibus Plan is designed to provide an incentive to officers and certain other key employees and consultants by making available to them an opportunity to acquire a proprietary interest or to increase such interest in National Beverage. The number of shares or options which may be issued under stock-based awards to an individual is limited to 1,680,000 during any year. Awards may be granted for no cash consideration or such minimal cash consideration as may be required by law. Options generally have an exercise price equal to the fair market value of our common stock on the date of grant, vest over a five-year period and expire after ten years.</w:t>
      </w:r>
    </w:p>
    <w:p>
      <w:pPr>
        <w:spacing w:after="0" w:line="171"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6"/>
          <w:szCs w:val="16"/>
          <w:color w:val="auto"/>
        </w:rPr>
        <w:t>The Special Stock Option Plan provides for the issuance of stock options to purchase up to an aggregate of 1,800,000 shares of common stock. Options may be granted for such consideration as determined by the Board of Directors. The vesting schedule and exercise price of these options are tied to the recipient’s ownership level of common stock and the terms generally allow for the reduction in exercise price upon each vesting period. Also, the Board of Directors authorized the issuance of options to purchase up to 50,000 shares of common stock to be issued at the direction of the Chairman.</w:t>
      </w:r>
    </w:p>
    <w:p>
      <w:pPr>
        <w:spacing w:after="0" w:line="167" w:lineRule="exact"/>
        <w:rPr>
          <w:sz w:val="20"/>
          <w:szCs w:val="20"/>
          <w:color w:val="auto"/>
        </w:rPr>
      </w:pPr>
    </w:p>
    <w:p>
      <w:pPr>
        <w:jc w:val="both"/>
        <w:ind w:left="2"/>
        <w:spacing w:after="0" w:line="263" w:lineRule="auto"/>
        <w:rPr>
          <w:sz w:val="20"/>
          <w:szCs w:val="20"/>
          <w:color w:val="auto"/>
        </w:rPr>
      </w:pPr>
      <w:r>
        <w:rPr>
          <w:rFonts w:ascii="Arial" w:cs="Arial" w:eastAsia="Arial" w:hAnsi="Arial"/>
          <w:sz w:val="16"/>
          <w:szCs w:val="16"/>
          <w:color w:val="auto"/>
        </w:rPr>
        <w:t>The Key Employee Equity Partnership Program (“KEEP Program”) provides for the granting of stock options to purchase up to 240,000 shares of common stock to key employees, consultants, directors and officers. Participants who purchase shares of stock in the open market receive grants of stock options equal to 50% of the number of shares purchased, up to a maximum of 6,000 shares in any two-year period. Options under the KEEP Program are forfeited in the event of the sale of shares used to acquire such options. Options are granted at an initial exercise price of 60% of the purchase price paid for the shares acquired and the exercise price reduces to the stock par value at the end of the six-year vesting period.</w:t>
      </w:r>
    </w:p>
    <w:p>
      <w:pPr>
        <w:spacing w:after="0" w:line="167"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2"/>
          </w:cols>
          <w:pgMar w:left="238" w:top="120" w:right="219" w:bottom="1440" w:gutter="0" w:footer="0" w:header="0"/>
        </w:sectPr>
      </w:pPr>
    </w:p>
    <w:bookmarkStart w:id="39" w:name="page40"/>
    <w:bookmarkEnd w:id="3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account for stock options under the fair value method of accounting using a Black-Scholes valuation model to estimate the stock option fair value at date of grant. The fair value of stock options is amortized to expense over the vesting period. Stock options granted were 500 shares in Fiscal 2018, no shares in Fiscal 2017 and 3,500 shares in Fiscal 2016. The weighted average Black-Scholes fair value assumptions for stock options granted are as follows: weighted average expected life of 8.0 years for Fiscal 2018 and 8.0 years for Fiscal 2016; weighted average expected volatility of 23.8% for Fiscal 2018 and 29.0% for Fiscal 2016; weighted average risk free interest rates of 2.4% for Fiscal 2018 and 2.1% for Fiscal 2016; and expected dividend yield of 1.6% for Fiscal 2018 and 3.3% for Fiscal 2016. The expected life of stock options was estimated based on historical experience. The expected volatility was estimated based on historical stock prices for a period consistent with the expected life of stock options. The risk free interest rate was based on the U.S. Treasury constant maturity interest rate whose term is consistent with the expected life of stock options. There were no forfeitures estimated for Fiscal 2018 and Fiscal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20"/>
                <w:szCs w:val="20"/>
                <w:color w:val="auto"/>
              </w:rPr>
            </w:pPr>
            <w:r>
              <w:rPr>
                <w:rFonts w:ascii="Arial" w:cs="Arial" w:eastAsia="Arial" w:hAnsi="Arial"/>
                <w:sz w:val="16"/>
                <w:szCs w:val="16"/>
                <w:color w:val="auto"/>
              </w:rPr>
              <w:t>The following is a summary of stock option activity for Fiscal 2018:</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8120" w:type="dxa"/>
            <w:vAlign w:val="bottom"/>
          </w:tcPr>
          <w:p>
            <w:pPr>
              <w:spacing w:after="0"/>
              <w:rPr>
                <w:sz w:val="24"/>
                <w:szCs w:val="2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6"/>
                <w:szCs w:val="16"/>
                <w:color w:val="auto"/>
              </w:rPr>
              <w:t>Number</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restart"/>
          </w:tcPr>
          <w:p>
            <w:pPr>
              <w:jc w:val="right"/>
              <w:ind w:right="398"/>
              <w:spacing w:after="0"/>
              <w:rPr>
                <w:sz w:val="20"/>
                <w:szCs w:val="20"/>
                <w:color w:val="auto"/>
              </w:rPr>
            </w:pPr>
            <w:r>
              <w:rPr>
                <w:rFonts w:ascii="Arial" w:cs="Arial" w:eastAsia="Arial" w:hAnsi="Arial"/>
                <w:sz w:val="16"/>
                <w:szCs w:val="16"/>
                <w:color w:val="auto"/>
              </w:rPr>
              <w:t xml:space="preserve">Price </w:t>
            </w:r>
            <w:r>
              <w:rPr>
                <w:rFonts w:ascii="Arial" w:cs="Arial" w:eastAsia="Arial" w:hAnsi="Arial"/>
                <w:sz w:val="27"/>
                <w:szCs w:val="27"/>
                <w:color w:val="auto"/>
                <w:vertAlign w:val="superscript"/>
              </w:rPr>
              <w:t>(a)</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120" w:type="dxa"/>
            <w:vAlign w:val="bottom"/>
          </w:tcPr>
          <w:p>
            <w:pPr>
              <w:spacing w:after="0"/>
              <w:rPr>
                <w:sz w:val="18"/>
                <w:szCs w:val="18"/>
                <w:color w:val="auto"/>
              </w:rPr>
            </w:pPr>
          </w:p>
        </w:tc>
        <w:tc>
          <w:tcPr>
            <w:tcW w:w="15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beginning of year</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383,595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20"/>
                <w:szCs w:val="20"/>
                <w:color w:val="auto"/>
              </w:rPr>
            </w:pPr>
            <w:r>
              <w:rPr>
                <w:rFonts w:ascii="Arial" w:cs="Arial" w:eastAsia="Arial" w:hAnsi="Arial"/>
                <w:sz w:val="16"/>
                <w:szCs w:val="16"/>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29.61</w:t>
            </w: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(34,650)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20"/>
                <w:szCs w:val="20"/>
                <w:color w:val="auto"/>
              </w:rPr>
            </w:pPr>
            <w:r>
              <w:rPr>
                <w:rFonts w:ascii="Arial" w:cs="Arial" w:eastAsia="Arial" w:hAnsi="Arial"/>
                <w:sz w:val="16"/>
                <w:szCs w:val="16"/>
                <w:color w:val="auto"/>
              </w:rPr>
              <w:t>Cancelled</w:t>
            </w:r>
          </w:p>
        </w:tc>
        <w:tc>
          <w:tcPr>
            <w:tcW w:w="1640" w:type="dxa"/>
            <w:vAlign w:val="bottom"/>
            <w:gridSpan w:val="2"/>
          </w:tcPr>
          <w:p>
            <w:pPr>
              <w:jc w:val="right"/>
              <w:ind w:right="80"/>
              <w:spacing w:after="0"/>
              <w:rPr>
                <w:sz w:val="20"/>
                <w:szCs w:val="20"/>
                <w:color w:val="auto"/>
              </w:rPr>
            </w:pPr>
            <w:r>
              <w:rPr>
                <w:rFonts w:ascii="Arial" w:cs="Arial" w:eastAsia="Arial" w:hAnsi="Arial"/>
                <w:sz w:val="16"/>
                <w:szCs w:val="16"/>
                <w:color w:val="auto"/>
              </w:rPr>
              <w:t>(4,500)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end of year</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344,945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173"/>
        </w:trPr>
        <w:tc>
          <w:tcPr>
            <w:tcW w:w="8120" w:type="dxa"/>
            <w:vAlign w:val="bottom"/>
          </w:tcPr>
          <w:p>
            <w:pPr>
              <w:spacing w:after="0" w:line="173" w:lineRule="exact"/>
              <w:rPr>
                <w:sz w:val="20"/>
                <w:szCs w:val="20"/>
                <w:color w:val="auto"/>
              </w:rPr>
            </w:pPr>
            <w:r>
              <w:rPr>
                <w:rFonts w:ascii="Arial" w:cs="Arial" w:eastAsia="Arial" w:hAnsi="Arial"/>
                <w:sz w:val="16"/>
                <w:szCs w:val="16"/>
                <w:color w:val="auto"/>
              </w:rPr>
              <w:t>Options exercisable, end of year</w:t>
            </w:r>
          </w:p>
        </w:tc>
        <w:tc>
          <w:tcPr>
            <w:tcW w:w="164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209,579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120"/>
              <w:spacing w:after="0" w:line="173" w:lineRule="exact"/>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_______________________________</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8120" w:type="dxa"/>
            <w:vAlign w:val="bottom"/>
          </w:tcPr>
          <w:p>
            <w:pPr>
              <w:spacing w:after="0"/>
              <w:rPr>
                <w:sz w:val="20"/>
                <w:szCs w:val="20"/>
                <w:color w:val="auto"/>
              </w:rPr>
            </w:pPr>
            <w:r>
              <w:rPr>
                <w:rFonts w:ascii="Arial" w:cs="Arial" w:eastAsia="Arial" w:hAnsi="Arial"/>
                <w:sz w:val="27"/>
                <w:szCs w:val="27"/>
                <w:color w:val="auto"/>
                <w:vertAlign w:val="superscript"/>
              </w:rPr>
              <w:t>(a)</w:t>
            </w:r>
            <w:r>
              <w:rPr>
                <w:rFonts w:ascii="Arial" w:cs="Arial" w:eastAsia="Arial" w:hAnsi="Arial"/>
                <w:sz w:val="16"/>
                <w:szCs w:val="16"/>
                <w:color w:val="auto"/>
              </w:rPr>
              <w:t xml:space="preserve"> Weighted average exercise price.</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Stock-based compensation expense was $161 thousand for Fiscal 2018, $208 thousand for Fiscal 2017 and $228 thousand for Fiscal 2016. The total fair value of shares vested was $140 thousand for Fiscal 2018, $362 thousand for Fiscal 2017 and $652 thousand for Fiscal 2016. The total intrinsic value for stock options exercised was $3.0 million for Fiscal 2018, $1.5 million for Fiscal 2017 and $5.2 million for Fiscal 2016. Net cash proceeds from the exercise of stock options were $560 thousand for Fiscal 2018, $365 thousand for Fiscal 2017 and $848 thousand for Fiscal 2016. Stock based income tax benefits aggregated $886 thousand for Fiscal 2018, $495 thousand for Fiscal 2017 and $1.5 million for Fiscal 2016. The weighted average fair value for stock options granted was $44.50 for Fiscal 2018.</w:t>
      </w:r>
    </w:p>
    <w:p>
      <w:pPr>
        <w:spacing w:after="0" w:line="15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of April 28, 2018, unrecognized compensation expense related to the unvested portion of our stock options was $268 thousand, which is expected to be recognized over a weighted average period of 3.3 years. The weighted average remaining contractual term and the aggregate intrinsic value for options outstanding as of April 28, 2018 was 4.4 years and $27.3 million, respectively. The weighted average remaining contractual term and the aggregate intrinsic value for options exercisable as of April 28, 2018 was 3.5 years and $17 million, respectively.</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0" w:name="page41"/>
    <w:bookmarkEnd w:id="40"/>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p>
      <w:pPr>
        <w:ind w:left="2" w:right="20"/>
        <w:spacing w:after="0" w:line="361" w:lineRule="auto"/>
        <w:rPr>
          <w:sz w:val="20"/>
          <w:szCs w:val="20"/>
          <w:color w:val="auto"/>
        </w:rPr>
      </w:pPr>
      <w:r>
        <w:rPr>
          <w:rFonts w:ascii="Arial" w:cs="Arial" w:eastAsia="Arial" w:hAnsi="Arial"/>
          <w:sz w:val="14"/>
          <w:szCs w:val="14"/>
          <w:color w:val="auto"/>
        </w:rPr>
        <w:t>We have a stock purchase plan which provides for the purchase of up to 1,536,000 shares of common stock by employees who (i) have been employed for at least two years, (ii) are not part-time employees and (iii) are not owners of five percent or more of our common stock. As of April 28, 2018, no shares have been issued under the plan.</w:t>
      </w:r>
    </w:p>
    <w:p>
      <w:pPr>
        <w:spacing w:after="0" w:line="320" w:lineRule="exact"/>
        <w:rPr>
          <w:sz w:val="20"/>
          <w:szCs w:val="20"/>
          <w:color w:val="auto"/>
        </w:rPr>
      </w:pPr>
    </w:p>
    <w:p>
      <w:pPr>
        <w:ind w:left="442" w:hanging="442"/>
        <w:spacing w:after="0"/>
        <w:tabs>
          <w:tab w:leader="none" w:pos="44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PENSION PLANS</w:t>
      </w:r>
    </w:p>
    <w:p>
      <w:pPr>
        <w:spacing w:after="0" w:line="212" w:lineRule="exact"/>
        <w:rPr>
          <w:sz w:val="20"/>
          <w:szCs w:val="20"/>
          <w:color w:val="auto"/>
        </w:rPr>
      </w:pPr>
    </w:p>
    <w:p>
      <w:pPr>
        <w:jc w:val="both"/>
        <w:ind w:left="2" w:right="20"/>
        <w:spacing w:after="0" w:line="285" w:lineRule="auto"/>
        <w:rPr>
          <w:sz w:val="20"/>
          <w:szCs w:val="20"/>
          <w:color w:val="auto"/>
        </w:rPr>
      </w:pPr>
      <w:r>
        <w:rPr>
          <w:rFonts w:ascii="Arial" w:cs="Arial" w:eastAsia="Arial" w:hAnsi="Arial"/>
          <w:sz w:val="16"/>
          <w:szCs w:val="16"/>
          <w:color w:val="auto"/>
        </w:rPr>
        <w:t>The Company contributes to certain pension plans under collective bargaining agreements and to a discretionary profit sharing plan. Annual contributions (including contributions to multi-employer plans reflected below) were $3.4 million for Fiscal 2018, $3.1 million for Fiscal 2017 and $2.9 million for Fiscal 2016.</w:t>
      </w:r>
    </w:p>
    <w:p>
      <w:pPr>
        <w:spacing w:after="0" w:line="151"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6"/>
          <w:szCs w:val="16"/>
          <w:color w:val="auto"/>
        </w:rPr>
        <w:t>The Company participates in three multi-employer defined benefit pension plans with respect to certain collective bargaining agreements. If the Company chooses to stop participating in the multi-employer plan or if other employers choose to withdraw to the extent that a mass withdrawal occurs, the Company could be required to pay the plan a withdrawal liability based on the underfunded status of the plan. During Fiscal 2017, a subsidiary of the Company reached a settlement with respect to a notification of withdrawal liability by one of the multi-employer pension plans not considered significant. The settlement did not have a material effect on its financial position or results of operations.</w:t>
      </w:r>
    </w:p>
    <w:p>
      <w:pPr>
        <w:spacing w:after="0" w:line="167" w:lineRule="exact"/>
        <w:rPr>
          <w:sz w:val="20"/>
          <w:szCs w:val="20"/>
          <w:color w:val="auto"/>
        </w:rPr>
      </w:pPr>
    </w:p>
    <w:p>
      <w:pPr>
        <w:jc w:val="both"/>
        <w:ind w:left="2" w:right="20"/>
        <w:spacing w:after="0" w:line="270" w:lineRule="auto"/>
        <w:rPr>
          <w:sz w:val="20"/>
          <w:szCs w:val="20"/>
          <w:color w:val="auto"/>
        </w:rPr>
      </w:pPr>
      <w:r>
        <w:rPr>
          <w:rFonts w:ascii="Arial" w:cs="Arial" w:eastAsia="Arial" w:hAnsi="Arial"/>
          <w:sz w:val="16"/>
          <w:szCs w:val="16"/>
          <w:color w:val="auto"/>
        </w:rPr>
        <w:t>Summarized below is certain information regarding the Company’s participation in significant multi-employer pension plans including the financial improvement plan or rehabilitation plan status (“FIP/RP Status”) and the zone status under the Pension Protection Act (“PPA”). The most recent PPA zone status available in Fiscal 2018 and Fiscal 2017 is for the plans’ years ending December 31, 2016 and 2015, respectively.</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color w:val="auto"/>
              </w:rPr>
              <w:t>PPA Zone Status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7"/>
        </w:trPr>
        <w:tc>
          <w:tcPr>
            <w:tcW w:w="90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6"/>
                <w:szCs w:val="16"/>
                <w:color w:val="auto"/>
                <w:w w:val="90"/>
              </w:rPr>
              <w:t>Fiscal</w:t>
            </w:r>
          </w:p>
        </w:tc>
        <w:tc>
          <w:tcPr>
            <w:tcW w:w="12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6"/>
                <w:szCs w:val="16"/>
                <w:color w:val="auto"/>
                <w:w w:val="90"/>
              </w:rPr>
              <w:t>Fiscal</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line="177" w:lineRule="exact"/>
              <w:rPr>
                <w:sz w:val="20"/>
                <w:szCs w:val="20"/>
                <w:color w:val="auto"/>
              </w:rPr>
            </w:pPr>
            <w:r>
              <w:rPr>
                <w:rFonts w:ascii="Arial" w:cs="Arial" w:eastAsia="Arial" w:hAnsi="Arial"/>
                <w:sz w:val="16"/>
                <w:szCs w:val="16"/>
                <w:color w:val="auto"/>
                <w:w w:val="89"/>
              </w:rPr>
              <w:t>Surcharge</w:t>
            </w:r>
          </w:p>
        </w:tc>
      </w:tr>
      <w:tr>
        <w:trPr>
          <w:trHeight w:val="172"/>
        </w:trPr>
        <w:tc>
          <w:tcPr>
            <w:tcW w:w="6880" w:type="dxa"/>
            <w:vAlign w:val="bottom"/>
            <w:gridSpan w:val="2"/>
          </w:tcPr>
          <w:p>
            <w:pPr>
              <w:spacing w:after="0" w:line="171" w:lineRule="exact"/>
              <w:rPr>
                <w:sz w:val="20"/>
                <w:szCs w:val="20"/>
                <w:color w:val="auto"/>
              </w:rPr>
            </w:pPr>
            <w:r>
              <w:rPr>
                <w:rFonts w:ascii="Arial" w:cs="Arial" w:eastAsia="Arial" w:hAnsi="Arial"/>
                <w:sz w:val="16"/>
                <w:szCs w:val="16"/>
                <w:color w:val="auto"/>
              </w:rPr>
              <w:t>Pension Fund</w:t>
            </w:r>
          </w:p>
        </w:tc>
        <w:tc>
          <w:tcPr>
            <w:tcW w:w="1020" w:type="dxa"/>
            <w:vAlign w:val="bottom"/>
          </w:tcPr>
          <w:p>
            <w:pPr>
              <w:jc w:val="center"/>
              <w:spacing w:after="0" w:line="171" w:lineRule="exact"/>
              <w:rPr>
                <w:sz w:val="20"/>
                <w:szCs w:val="20"/>
                <w:color w:val="auto"/>
              </w:rPr>
            </w:pPr>
            <w:r>
              <w:rPr>
                <w:rFonts w:ascii="Arial" w:cs="Arial" w:eastAsia="Arial" w:hAnsi="Arial"/>
                <w:sz w:val="16"/>
                <w:szCs w:val="16"/>
                <w:color w:val="auto"/>
                <w:w w:val="95"/>
              </w:rPr>
              <w:t>2018</w:t>
            </w:r>
          </w:p>
        </w:tc>
        <w:tc>
          <w:tcPr>
            <w:tcW w:w="1140" w:type="dxa"/>
            <w:vAlign w:val="bottom"/>
            <w:gridSpan w:val="2"/>
          </w:tcPr>
          <w:p>
            <w:pPr>
              <w:jc w:val="center"/>
              <w:ind w:left="38"/>
              <w:spacing w:after="0" w:line="171" w:lineRule="exact"/>
              <w:rPr>
                <w:sz w:val="20"/>
                <w:szCs w:val="20"/>
                <w:color w:val="auto"/>
              </w:rPr>
            </w:pPr>
            <w:r>
              <w:rPr>
                <w:rFonts w:ascii="Arial" w:cs="Arial" w:eastAsia="Arial" w:hAnsi="Arial"/>
                <w:sz w:val="16"/>
                <w:szCs w:val="16"/>
                <w:color w:val="auto"/>
                <w:w w:val="95"/>
              </w:rPr>
              <w:t>2017</w:t>
            </w:r>
          </w:p>
        </w:tc>
        <w:tc>
          <w:tcPr>
            <w:tcW w:w="120" w:type="dxa"/>
            <w:vAlign w:val="bottom"/>
          </w:tcPr>
          <w:p>
            <w:pPr>
              <w:spacing w:after="0"/>
              <w:rPr>
                <w:sz w:val="14"/>
                <w:szCs w:val="14"/>
                <w:color w:val="auto"/>
              </w:rPr>
            </w:pPr>
          </w:p>
        </w:tc>
        <w:tc>
          <w:tcPr>
            <w:tcW w:w="1020" w:type="dxa"/>
            <w:vAlign w:val="bottom"/>
          </w:tcPr>
          <w:p>
            <w:pPr>
              <w:jc w:val="center"/>
              <w:spacing w:after="0" w:line="171" w:lineRule="exact"/>
              <w:rPr>
                <w:sz w:val="20"/>
                <w:szCs w:val="20"/>
                <w:color w:val="auto"/>
              </w:rPr>
            </w:pPr>
            <w:r>
              <w:rPr>
                <w:rFonts w:ascii="Arial" w:cs="Arial" w:eastAsia="Arial" w:hAnsi="Arial"/>
                <w:sz w:val="16"/>
                <w:szCs w:val="16"/>
                <w:color w:val="auto"/>
                <w:w w:val="90"/>
              </w:rPr>
              <w:t>FIP/RP Status</w:t>
            </w:r>
          </w:p>
        </w:tc>
        <w:tc>
          <w:tcPr>
            <w:tcW w:w="120" w:type="dxa"/>
            <w:vAlign w:val="bottom"/>
          </w:tcPr>
          <w:p>
            <w:pPr>
              <w:spacing w:after="0"/>
              <w:rPr>
                <w:sz w:val="14"/>
                <w:szCs w:val="14"/>
                <w:color w:val="auto"/>
              </w:rPr>
            </w:pPr>
          </w:p>
        </w:tc>
        <w:tc>
          <w:tcPr>
            <w:tcW w:w="1140" w:type="dxa"/>
            <w:vAlign w:val="bottom"/>
            <w:gridSpan w:val="2"/>
          </w:tcPr>
          <w:p>
            <w:pPr>
              <w:jc w:val="center"/>
              <w:ind w:right="140"/>
              <w:spacing w:after="0" w:line="171" w:lineRule="exact"/>
              <w:rPr>
                <w:sz w:val="20"/>
                <w:szCs w:val="20"/>
                <w:color w:val="auto"/>
              </w:rPr>
            </w:pPr>
            <w:r>
              <w:rPr>
                <w:rFonts w:ascii="Arial" w:cs="Arial" w:eastAsia="Arial" w:hAnsi="Arial"/>
                <w:sz w:val="16"/>
                <w:szCs w:val="16"/>
                <w:color w:val="auto"/>
                <w:w w:val="91"/>
              </w:rPr>
              <w:t>Imposed</w:t>
            </w: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5"/>
        </w:trPr>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Central States, Southeast and Southwest Areas Pension Plan (EIN no. 36-6044243) (the “CSSS Fund”)</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Implemented</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Yes</w:t>
            </w:r>
          </w:p>
        </w:tc>
      </w:tr>
      <w:tr>
        <w:trPr>
          <w:trHeight w:val="207"/>
        </w:trPr>
        <w:tc>
          <w:tcPr>
            <w:tcW w:w="6880" w:type="dxa"/>
            <w:vAlign w:val="bottom"/>
            <w:gridSpan w:val="2"/>
          </w:tcPr>
          <w:p>
            <w:pPr>
              <w:spacing w:after="0"/>
              <w:rPr>
                <w:sz w:val="20"/>
                <w:szCs w:val="20"/>
                <w:color w:val="auto"/>
              </w:rPr>
            </w:pPr>
            <w:r>
              <w:rPr>
                <w:rFonts w:ascii="Arial" w:cs="Arial" w:eastAsia="Arial" w:hAnsi="Arial"/>
                <w:sz w:val="16"/>
                <w:szCs w:val="16"/>
                <w:color w:val="auto"/>
              </w:rPr>
              <w:t>Western Conference of Teamsters Pension Trust Fund (EIN no. 91-6145047) (the “WCT Fund”)</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Green</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5"/>
              </w:rPr>
              <w:t>Green</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Not applicable</w:t>
            </w:r>
          </w:p>
        </w:tc>
        <w:tc>
          <w:tcPr>
            <w:tcW w:w="1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No</w:t>
            </w:r>
          </w:p>
        </w:tc>
      </w:tr>
    </w:tbl>
    <w:p>
      <w:pPr>
        <w:spacing w:after="0" w:line="172" w:lineRule="exact"/>
        <w:rPr>
          <w:sz w:val="20"/>
          <w:szCs w:val="20"/>
          <w:color w:val="auto"/>
        </w:rPr>
      </w:pPr>
    </w:p>
    <w:p>
      <w:pPr>
        <w:jc w:val="both"/>
        <w:ind w:left="2" w:right="20"/>
        <w:spacing w:after="0" w:line="270" w:lineRule="auto"/>
        <w:rPr>
          <w:sz w:val="20"/>
          <w:szCs w:val="20"/>
          <w:color w:val="auto"/>
        </w:rPr>
      </w:pPr>
      <w:r>
        <w:rPr>
          <w:rFonts w:ascii="Arial" w:cs="Arial" w:eastAsia="Arial" w:hAnsi="Arial"/>
          <w:sz w:val="16"/>
          <w:szCs w:val="16"/>
          <w:color w:val="auto"/>
        </w:rPr>
        <w:t>For the plan years ended December 31, 2016 and December 31, 2015, the Company was not listed in the Form 5500 Annual Returns as providing more than 5% of the total contributions for the above plans. The collective bargaining agreements for employees in the CSSS Fund and the WCT Fund expire on October 18, 2021 and May 14, 2021, respectively.</w:t>
      </w:r>
    </w:p>
    <w:p>
      <w:pPr>
        <w:spacing w:after="0" w:line="162"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2"/>
          </w:cols>
          <w:pgMar w:left="238" w:top="120" w:right="219" w:bottom="1440" w:gutter="0" w:footer="0" w:header="0"/>
        </w:sectPr>
      </w:pPr>
    </w:p>
    <w:bookmarkStart w:id="41" w:name="page42"/>
    <w:bookmarkEnd w:id="41"/>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7300" w:type="dxa"/>
            <w:vAlign w:val="bottom"/>
            <w:gridSpan w:val="4"/>
          </w:tcPr>
          <w:p>
            <w:pPr>
              <w:spacing w:after="0"/>
              <w:rPr>
                <w:sz w:val="20"/>
                <w:szCs w:val="20"/>
                <w:color w:val="auto"/>
              </w:rPr>
            </w:pPr>
            <w:r>
              <w:rPr>
                <w:rFonts w:ascii="Arial" w:cs="Arial" w:eastAsia="Arial" w:hAnsi="Arial"/>
                <w:sz w:val="16"/>
                <w:szCs w:val="16"/>
                <w:color w:val="auto"/>
                <w:w w:val="93"/>
              </w:rPr>
              <w:t>The Company’s contributions for all multi-employer pension plans for the last three fiscal years are as follows: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9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color w:val="auto"/>
                <w:w w:val="89"/>
              </w:rPr>
              <w:t>(In thousands)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9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498"/>
              <w:spacing w:after="0" w:line="177" w:lineRule="exact"/>
              <w:rPr>
                <w:sz w:val="20"/>
                <w:szCs w:val="20"/>
                <w:color w:val="auto"/>
              </w:rPr>
            </w:pPr>
            <w:r>
              <w:rPr>
                <w:rFonts w:ascii="Arial" w:cs="Arial" w:eastAsia="Arial" w:hAnsi="Arial"/>
                <w:sz w:val="16"/>
                <w:szCs w:val="16"/>
                <w:color w:val="auto"/>
              </w:rPr>
              <w:t>Fiscal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400"/>
              <w:spacing w:after="0" w:line="177" w:lineRule="exact"/>
              <w:rPr>
                <w:sz w:val="20"/>
                <w:szCs w:val="20"/>
                <w:color w:val="auto"/>
              </w:rPr>
            </w:pPr>
            <w:r>
              <w:rPr>
                <w:rFonts w:ascii="Arial" w:cs="Arial" w:eastAsia="Arial" w:hAnsi="Arial"/>
                <w:sz w:val="16"/>
                <w:szCs w:val="16"/>
                <w:color w:val="auto"/>
                <w:w w:val="95"/>
              </w:rPr>
              <w:t>Fiscal</w:t>
            </w:r>
          </w:p>
        </w:tc>
        <w:tc>
          <w:tcPr>
            <w:tcW w:w="320" w:type="dxa"/>
            <w:vAlign w:val="bottom"/>
          </w:tcPr>
          <w:p>
            <w:pPr>
              <w:spacing w:after="0"/>
              <w:rPr>
                <w:sz w:val="15"/>
                <w:szCs w:val="15"/>
                <w:color w:val="auto"/>
              </w:rPr>
            </w:pPr>
          </w:p>
        </w:tc>
        <w:tc>
          <w:tcPr>
            <w:tcW w:w="1180" w:type="dxa"/>
            <w:vAlign w:val="bottom"/>
          </w:tcPr>
          <w:p>
            <w:pPr>
              <w:jc w:val="right"/>
              <w:ind w:right="478"/>
              <w:spacing w:after="0" w:line="177" w:lineRule="exact"/>
              <w:rPr>
                <w:sz w:val="20"/>
                <w:szCs w:val="20"/>
                <w:color w:val="auto"/>
              </w:rPr>
            </w:pPr>
            <w:r>
              <w:rPr>
                <w:rFonts w:ascii="Arial" w:cs="Arial" w:eastAsia="Arial" w:hAnsi="Arial"/>
                <w:sz w:val="16"/>
                <w:szCs w:val="16"/>
                <w:color w:val="auto"/>
              </w:rPr>
              <w:t>Fiscal</w:t>
            </w:r>
          </w:p>
        </w:tc>
        <w:tc>
          <w:tcPr>
            <w:tcW w:w="100" w:type="dxa"/>
            <w:vAlign w:val="bottom"/>
          </w:tcPr>
          <w:p>
            <w:pPr>
              <w:spacing w:after="0"/>
              <w:rPr>
                <w:sz w:val="15"/>
                <w:szCs w:val="15"/>
                <w:color w:val="auto"/>
              </w:rPr>
            </w:pPr>
          </w:p>
        </w:tc>
      </w:tr>
      <w:tr>
        <w:trPr>
          <w:trHeight w:val="184"/>
        </w:trPr>
        <w:tc>
          <w:tcPr>
            <w:tcW w:w="5760" w:type="dxa"/>
            <w:vAlign w:val="bottom"/>
            <w:gridSpan w:val="2"/>
          </w:tcPr>
          <w:p>
            <w:pPr>
              <w:spacing w:after="0"/>
              <w:rPr>
                <w:sz w:val="20"/>
                <w:szCs w:val="20"/>
                <w:color w:val="auto"/>
              </w:rPr>
            </w:pPr>
            <w:r>
              <w:rPr>
                <w:rFonts w:ascii="Arial" w:cs="Arial" w:eastAsia="Arial" w:hAnsi="Arial"/>
                <w:sz w:val="16"/>
                <w:szCs w:val="16"/>
                <w:color w:val="auto"/>
              </w:rPr>
              <w:t>Pension Fund</w:t>
            </w:r>
          </w:p>
        </w:tc>
        <w:tc>
          <w:tcPr>
            <w:tcW w:w="320" w:type="dxa"/>
            <w:vAlign w:val="bottom"/>
          </w:tcPr>
          <w:p>
            <w:pPr>
              <w:spacing w:after="0"/>
              <w:rPr>
                <w:sz w:val="15"/>
                <w:szCs w:val="15"/>
                <w:color w:val="auto"/>
              </w:rPr>
            </w:pPr>
          </w:p>
        </w:tc>
        <w:tc>
          <w:tcPr>
            <w:tcW w:w="1220" w:type="dxa"/>
            <w:vAlign w:val="bottom"/>
          </w:tcPr>
          <w:p>
            <w:pPr>
              <w:jc w:val="right"/>
              <w:ind w:right="518"/>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8"/>
              <w:spacing w:after="0"/>
              <w:rPr>
                <w:sz w:val="20"/>
                <w:szCs w:val="20"/>
                <w:color w:val="auto"/>
              </w:rPr>
            </w:pPr>
            <w:r>
              <w:rPr>
                <w:rFonts w:ascii="Arial" w:cs="Arial" w:eastAsia="Arial" w:hAnsi="Arial"/>
                <w:sz w:val="16"/>
                <w:szCs w:val="16"/>
                <w:color w:val="auto"/>
                <w:w w:val="89"/>
              </w:rPr>
              <w:t>2017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18"/>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5"/>
                <w:szCs w:val="15"/>
                <w:color w:val="auto"/>
              </w:rPr>
            </w:pP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7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CSSS Fund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1,370</w:t>
            </w:r>
          </w:p>
        </w:tc>
        <w:tc>
          <w:tcPr>
            <w:tcW w:w="40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220"/>
              <w:spacing w:after="0" w:line="173" w:lineRule="exact"/>
              <w:rPr>
                <w:sz w:val="20"/>
                <w:szCs w:val="20"/>
                <w:color w:val="auto"/>
              </w:rPr>
            </w:pPr>
            <w:r>
              <w:rPr>
                <w:rFonts w:ascii="Arial" w:cs="Arial" w:eastAsia="Arial" w:hAnsi="Arial"/>
                <w:sz w:val="16"/>
                <w:szCs w:val="16"/>
                <w:color w:val="auto"/>
              </w:rPr>
              <w:t>1,262</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1,172</w:t>
            </w: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WCT Fund</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477</w:t>
            </w:r>
          </w:p>
        </w:tc>
        <w:tc>
          <w:tcPr>
            <w:tcW w:w="3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485</w:t>
            </w: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multi-employer pension funds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448</w:t>
            </w:r>
          </w:p>
        </w:tc>
      </w:tr>
      <w:tr>
        <w:trPr>
          <w:trHeight w:val="20"/>
        </w:trPr>
        <w:tc>
          <w:tcPr>
            <w:tcW w:w="90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8"/>
        </w:trPr>
        <w:tc>
          <w:tcPr>
            <w:tcW w:w="5760" w:type="dxa"/>
            <w:vAlign w:val="bottom"/>
            <w:gridSpan w:val="2"/>
          </w:tcPr>
          <w:p>
            <w:pPr>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2,217</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1,940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2,105</w:t>
            </w:r>
          </w:p>
        </w:tc>
      </w:tr>
      <w:tr>
        <w:trPr>
          <w:trHeight w:val="20"/>
        </w:trPr>
        <w:tc>
          <w:tcPr>
            <w:tcW w:w="9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442" w:hanging="442"/>
        <w:spacing w:after="0"/>
        <w:tabs>
          <w:tab w:leader="none" w:pos="44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12" w:lineRule="exact"/>
        <w:rPr>
          <w:sz w:val="20"/>
          <w:szCs w:val="20"/>
          <w:color w:val="auto"/>
        </w:rPr>
      </w:pPr>
    </w:p>
    <w:p>
      <w:pPr>
        <w:jc w:val="both"/>
        <w:ind w:left="2"/>
        <w:spacing w:after="0" w:line="265" w:lineRule="auto"/>
        <w:rPr>
          <w:sz w:val="20"/>
          <w:szCs w:val="20"/>
          <w:color w:val="auto"/>
        </w:rPr>
      </w:pPr>
      <w:r>
        <w:rPr>
          <w:rFonts w:ascii="Arial" w:cs="Arial" w:eastAsia="Arial" w:hAnsi="Arial"/>
          <w:sz w:val="16"/>
          <w:szCs w:val="16"/>
          <w:color w:val="auto"/>
        </w:rPr>
        <w:t>We lease buildings, machinery and equipment under various non-cancelable operating lease agreements expiring at various dates through 2029. Certain of these leases contain scheduled rent increases and/or renewal options. Contractual rent increases are taken into account when calculating the minimum lease payment and recognized on a straight-line basis over the lease term. Rent expense under operating lease agreements totaled $13.3 million for Fiscal 2018, $12.0 million for Fiscal 2017 and $9.2 million for Fiscal 2016.</w:t>
      </w:r>
    </w:p>
    <w:p>
      <w:pPr>
        <w:spacing w:after="0" w:line="16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8660" w:type="dxa"/>
            <w:vAlign w:val="bottom"/>
            <w:gridSpan w:val="2"/>
          </w:tcPr>
          <w:p>
            <w:pPr>
              <w:spacing w:after="0"/>
              <w:rPr>
                <w:sz w:val="20"/>
                <w:szCs w:val="20"/>
                <w:color w:val="auto"/>
              </w:rPr>
            </w:pPr>
            <w:r>
              <w:rPr>
                <w:rFonts w:ascii="Arial" w:cs="Arial" w:eastAsia="Arial" w:hAnsi="Arial"/>
                <w:sz w:val="16"/>
                <w:szCs w:val="16"/>
                <w:color w:val="auto"/>
              </w:rPr>
              <w:t>Our minimum lease payments under non-cancelable operating leases as of April 28, 2018 were as follows: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2"/>
        </w:trPr>
        <w:tc>
          <w:tcPr>
            <w:tcW w:w="11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Fiscal 2019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9,182</w:t>
            </w:r>
          </w:p>
        </w:tc>
      </w:tr>
      <w:tr>
        <w:trPr>
          <w:trHeight w:val="196"/>
        </w:trPr>
        <w:tc>
          <w:tcPr>
            <w:tcW w:w="114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Fiscal 2020</w:t>
            </w:r>
          </w:p>
        </w:tc>
        <w:tc>
          <w:tcPr>
            <w:tcW w:w="18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7,615</w:t>
            </w:r>
          </w:p>
        </w:tc>
      </w:tr>
      <w:tr>
        <w:trPr>
          <w:trHeight w:val="196"/>
        </w:trPr>
        <w:tc>
          <w:tcPr>
            <w:tcW w:w="114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Fiscal 2021</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5,241</w:t>
            </w:r>
          </w:p>
        </w:tc>
      </w:tr>
      <w:tr>
        <w:trPr>
          <w:trHeight w:val="196"/>
        </w:trPr>
        <w:tc>
          <w:tcPr>
            <w:tcW w:w="114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Fiscal 2022</w:t>
            </w:r>
          </w:p>
        </w:tc>
        <w:tc>
          <w:tcPr>
            <w:tcW w:w="18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3,223</w:t>
            </w:r>
          </w:p>
        </w:tc>
      </w:tr>
      <w:tr>
        <w:trPr>
          <w:trHeight w:val="196"/>
        </w:trPr>
        <w:tc>
          <w:tcPr>
            <w:tcW w:w="114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Fiscal 2023</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1,656</w:t>
            </w:r>
          </w:p>
        </w:tc>
      </w:tr>
      <w:tr>
        <w:trPr>
          <w:trHeight w:val="196"/>
        </w:trPr>
        <w:tc>
          <w:tcPr>
            <w:tcW w:w="114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80" w:type="dxa"/>
            <w:vAlign w:val="bottom"/>
          </w:tcPr>
          <w:p>
            <w:pPr>
              <w:spacing w:after="0"/>
              <w:rPr>
                <w:sz w:val="17"/>
                <w:szCs w:val="17"/>
                <w:color w:val="auto"/>
              </w:rPr>
            </w:pPr>
          </w:p>
        </w:tc>
      </w:tr>
      <w:tr>
        <w:trPr>
          <w:trHeight w:val="228"/>
        </w:trPr>
        <w:tc>
          <w:tcPr>
            <w:tcW w:w="114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minimum lease payments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28,448</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83" w:lineRule="exact"/>
        <w:rPr>
          <w:sz w:val="20"/>
          <w:szCs w:val="20"/>
          <w:color w:val="auto"/>
        </w:rPr>
      </w:pPr>
    </w:p>
    <w:p>
      <w:pPr>
        <w:ind w:left="2"/>
        <w:spacing w:after="0"/>
        <w:rPr>
          <w:sz w:val="20"/>
          <w:szCs w:val="20"/>
          <w:color w:val="auto"/>
        </w:rPr>
      </w:pPr>
      <w:r>
        <w:rPr>
          <w:rFonts w:ascii="Arial" w:cs="Arial" w:eastAsia="Arial" w:hAnsi="Arial"/>
          <w:sz w:val="14"/>
          <w:szCs w:val="14"/>
          <w:color w:val="auto"/>
        </w:rPr>
        <w:t>We enter into various agreements with suppliers for the purchase of raw materials, the terms of which may include variable or fixed pricing and minimum purchase quantities.</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of April 28, 2018, we had purchase commitments for raw materials of $11.2 million through 2022.</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of April 28, 2018, we had purchase commitments for plant and equipment of $4.7 million for Fiscal 2019.</w:t>
      </w:r>
    </w:p>
    <w:p>
      <w:pPr>
        <w:spacing w:after="0" w:line="208"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From time to time, we are a party to various litigation matters and claims arising in the ordinary course of business. We do not expect the ultimate disposition of such matters to have a material adverse effect on our consolidated financial position or results of operations.</w:t>
      </w:r>
    </w:p>
    <w:p>
      <w:pPr>
        <w:spacing w:after="0" w:line="1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2"/>
          </w:cols>
          <w:pgMar w:left="238" w:top="120" w:right="239" w:bottom="1440" w:gutter="0" w:footer="0" w:header="0"/>
        </w:sectPr>
      </w:pPr>
    </w:p>
    <w:bookmarkStart w:id="42" w:name="page43"/>
    <w:bookmarkEnd w:id="42"/>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2" w:hanging="442"/>
        <w:spacing w:after="0"/>
        <w:tabs>
          <w:tab w:leader="none" w:pos="44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FINANCIAL DATA (UNAUDITED)</w:t>
      </w:r>
    </w:p>
    <w:p>
      <w:pPr>
        <w:spacing w:after="0" w:line="200" w:lineRule="exact"/>
        <w:rPr>
          <w:sz w:val="20"/>
          <w:szCs w:val="20"/>
          <w:color w:val="auto"/>
        </w:rPr>
      </w:pP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6"/>
                <w:szCs w:val="16"/>
                <w:color w:val="auto"/>
                <w:w w:val="91"/>
              </w:rPr>
              <w:t>(In thousands, except per share amounts)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7"/>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80"/>
              <w:spacing w:after="0" w:line="177" w:lineRule="exact"/>
              <w:rPr>
                <w:sz w:val="20"/>
                <w:szCs w:val="20"/>
                <w:color w:val="auto"/>
              </w:rPr>
            </w:pPr>
            <w:r>
              <w:rPr>
                <w:rFonts w:ascii="Arial" w:cs="Arial" w:eastAsia="Arial" w:hAnsi="Arial"/>
                <w:sz w:val="16"/>
                <w:szCs w:val="16"/>
                <w:color w:val="auto"/>
                <w:w w:val="96"/>
              </w:rPr>
              <w:t>First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40"/>
              <w:spacing w:after="0" w:line="177" w:lineRule="exact"/>
              <w:rPr>
                <w:sz w:val="20"/>
                <w:szCs w:val="20"/>
                <w:color w:val="auto"/>
              </w:rPr>
            </w:pPr>
            <w:r>
              <w:rPr>
                <w:rFonts w:ascii="Arial" w:cs="Arial" w:eastAsia="Arial" w:hAnsi="Arial"/>
                <w:sz w:val="16"/>
                <w:szCs w:val="16"/>
                <w:color w:val="auto"/>
              </w:rPr>
              <w:t>Second</w:t>
            </w:r>
          </w:p>
        </w:tc>
        <w:tc>
          <w:tcPr>
            <w:tcW w:w="200" w:type="dxa"/>
            <w:vAlign w:val="bottom"/>
          </w:tcPr>
          <w:p>
            <w:pPr>
              <w:spacing w:after="0"/>
              <w:rPr>
                <w:sz w:val="15"/>
                <w:szCs w:val="15"/>
                <w:color w:val="auto"/>
              </w:rPr>
            </w:pPr>
          </w:p>
        </w:tc>
        <w:tc>
          <w:tcPr>
            <w:tcW w:w="1160" w:type="dxa"/>
            <w:vAlign w:val="bottom"/>
            <w:gridSpan w:val="2"/>
          </w:tcPr>
          <w:p>
            <w:pPr>
              <w:jc w:val="right"/>
              <w:ind w:right="600"/>
              <w:spacing w:after="0" w:line="177" w:lineRule="exact"/>
              <w:rPr>
                <w:sz w:val="20"/>
                <w:szCs w:val="20"/>
                <w:color w:val="auto"/>
              </w:rPr>
            </w:pPr>
            <w:r>
              <w:rPr>
                <w:rFonts w:ascii="Arial" w:cs="Arial" w:eastAsia="Arial" w:hAnsi="Arial"/>
                <w:sz w:val="16"/>
                <w:szCs w:val="16"/>
                <w:color w:val="auto"/>
              </w:rPr>
              <w:t>Third</w:t>
            </w:r>
          </w:p>
        </w:tc>
        <w:tc>
          <w:tcPr>
            <w:tcW w:w="200" w:type="dxa"/>
            <w:vAlign w:val="bottom"/>
          </w:tcPr>
          <w:p>
            <w:pPr>
              <w:spacing w:after="0"/>
              <w:rPr>
                <w:sz w:val="15"/>
                <w:szCs w:val="15"/>
                <w:color w:val="auto"/>
              </w:rPr>
            </w:pPr>
          </w:p>
        </w:tc>
        <w:tc>
          <w:tcPr>
            <w:tcW w:w="940" w:type="dxa"/>
            <w:vAlign w:val="bottom"/>
          </w:tcPr>
          <w:p>
            <w:pPr>
              <w:jc w:val="right"/>
              <w:ind w:right="278"/>
              <w:spacing w:after="0" w:line="177" w:lineRule="exact"/>
              <w:rPr>
                <w:sz w:val="20"/>
                <w:szCs w:val="20"/>
                <w:color w:val="auto"/>
              </w:rPr>
            </w:pPr>
            <w:r>
              <w:rPr>
                <w:rFonts w:ascii="Arial" w:cs="Arial" w:eastAsia="Arial" w:hAnsi="Arial"/>
                <w:sz w:val="16"/>
                <w:szCs w:val="16"/>
                <w:color w:val="auto"/>
              </w:rPr>
              <w:t>Fourth</w:t>
            </w:r>
          </w:p>
        </w:tc>
        <w:tc>
          <w:tcPr>
            <w:tcW w:w="120" w:type="dxa"/>
            <w:vAlign w:val="bottom"/>
          </w:tcPr>
          <w:p>
            <w:pPr>
              <w:spacing w:after="0"/>
              <w:rPr>
                <w:sz w:val="15"/>
                <w:szCs w:val="15"/>
                <w:color w:val="auto"/>
              </w:rPr>
            </w:pPr>
          </w:p>
        </w:tc>
      </w:tr>
      <w:tr>
        <w:trPr>
          <w:trHeight w:val="208"/>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6"/>
                <w:szCs w:val="16"/>
                <w:color w:val="auto"/>
              </w:rPr>
              <w:t>Quarter</w:t>
            </w:r>
          </w:p>
        </w:tc>
        <w:tc>
          <w:tcPr>
            <w:tcW w:w="2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6"/>
                <w:szCs w:val="16"/>
                <w:color w:val="auto"/>
              </w:rPr>
              <w:t>Quarter</w:t>
            </w: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color w:val="auto"/>
              </w:rPr>
              <w:t>Quarter</w:t>
            </w:r>
          </w:p>
        </w:tc>
      </w:tr>
      <w:tr>
        <w:trPr>
          <w:trHeight w:val="169"/>
        </w:trPr>
        <w:tc>
          <w:tcPr>
            <w:tcW w:w="780" w:type="dxa"/>
            <w:vAlign w:val="bottom"/>
            <w:tcBorders>
              <w:bottom w:val="single" w:sz="8" w:color="auto"/>
            </w:tcBorders>
            <w:gridSpan w:val="2"/>
            <w:shd w:val="clear" w:color="auto" w:fill="CCEEFF"/>
          </w:tcPr>
          <w:p>
            <w:pPr>
              <w:spacing w:after="0" w:line="152" w:lineRule="exact"/>
              <w:rPr>
                <w:sz w:val="20"/>
                <w:szCs w:val="20"/>
                <w:color w:val="auto"/>
              </w:rPr>
            </w:pPr>
            <w:r>
              <w:rPr>
                <w:rFonts w:ascii="Arial" w:cs="Arial" w:eastAsia="Arial" w:hAnsi="Arial"/>
                <w:sz w:val="16"/>
                <w:szCs w:val="16"/>
                <w:b w:val="1"/>
                <w:bCs w:val="1"/>
                <w:color w:val="auto"/>
                <w:w w:val="88"/>
              </w:rPr>
              <w:t>Fiscal 2018</w:t>
            </w:r>
          </w:p>
        </w:tc>
        <w:tc>
          <w:tcPr>
            <w:tcW w:w="326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96"/>
        </w:trPr>
        <w:tc>
          <w:tcPr>
            <w:tcW w:w="4040" w:type="dxa"/>
            <w:vAlign w:val="bottom"/>
            <w:gridSpan w:val="3"/>
          </w:tcPr>
          <w:p>
            <w:pPr>
              <w:spacing w:after="0"/>
              <w:rPr>
                <w:sz w:val="20"/>
                <w:szCs w:val="20"/>
                <w:color w:val="auto"/>
              </w:rPr>
            </w:pPr>
            <w:r>
              <w:rPr>
                <w:rFonts w:ascii="Arial" w:cs="Arial" w:eastAsia="Arial" w:hAnsi="Arial"/>
                <w:sz w:val="16"/>
                <w:szCs w:val="16"/>
                <w:color w:val="auto"/>
              </w:rPr>
              <w:t>Net sales</w:t>
            </w:r>
          </w:p>
        </w:tc>
        <w:tc>
          <w:tcPr>
            <w:tcW w:w="2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259,832</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244,119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227,477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244,306</w:t>
            </w:r>
          </w:p>
        </w:tc>
      </w:tr>
      <w:tr>
        <w:trPr>
          <w:trHeight w:val="196"/>
        </w:trPr>
        <w:tc>
          <w:tcPr>
            <w:tcW w:w="4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104,503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96,080</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91,193</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99,359</w:t>
            </w:r>
          </w:p>
        </w:tc>
      </w:tr>
      <w:tr>
        <w:trPr>
          <w:trHeight w:val="196"/>
        </w:trPr>
        <w:tc>
          <w:tcPr>
            <w:tcW w:w="404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38,272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33,980</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41,080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36,442</w:t>
            </w:r>
          </w:p>
        </w:tc>
      </w:tr>
      <w:tr>
        <w:trPr>
          <w:trHeight w:val="196"/>
        </w:trPr>
        <w:tc>
          <w:tcPr>
            <w:tcW w:w="4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Earnings per common share – basic</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w:t>
            </w:r>
          </w:p>
        </w:tc>
      </w:tr>
      <w:tr>
        <w:trPr>
          <w:trHeight w:val="196"/>
        </w:trPr>
        <w:tc>
          <w:tcPr>
            <w:tcW w:w="4040" w:type="dxa"/>
            <w:vAlign w:val="bottom"/>
            <w:gridSpan w:val="3"/>
          </w:tcPr>
          <w:p>
            <w:pPr>
              <w:spacing w:after="0"/>
              <w:rPr>
                <w:sz w:val="20"/>
                <w:szCs w:val="20"/>
                <w:color w:val="auto"/>
              </w:rPr>
            </w:pPr>
            <w:r>
              <w:rPr>
                <w:rFonts w:ascii="Arial" w:cs="Arial" w:eastAsia="Arial" w:hAnsi="Arial"/>
                <w:sz w:val="16"/>
                <w:szCs w:val="16"/>
                <w:color w:val="auto"/>
              </w:rPr>
              <w:t>Earnings per common share – diluted</w:t>
            </w:r>
          </w:p>
        </w:tc>
        <w:tc>
          <w:tcPr>
            <w:tcW w:w="2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.78</w:t>
            </w:r>
          </w:p>
        </w:tc>
      </w:tr>
      <w:tr>
        <w:trPr>
          <w:trHeight w:val="196"/>
        </w:trPr>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67"/>
        </w:trPr>
        <w:tc>
          <w:tcPr>
            <w:tcW w:w="760" w:type="dxa"/>
            <w:vAlign w:val="bottom"/>
            <w:tcBorders>
              <w:bottom w:val="single" w:sz="8" w:color="auto"/>
            </w:tcBorders>
          </w:tcPr>
          <w:p>
            <w:pPr>
              <w:spacing w:after="0" w:line="159" w:lineRule="exact"/>
              <w:rPr>
                <w:sz w:val="20"/>
                <w:szCs w:val="20"/>
                <w:color w:val="auto"/>
              </w:rPr>
            </w:pPr>
            <w:r>
              <w:rPr>
                <w:rFonts w:ascii="Arial" w:cs="Arial" w:eastAsia="Arial" w:hAnsi="Arial"/>
                <w:sz w:val="16"/>
                <w:szCs w:val="16"/>
                <w:color w:val="auto"/>
                <w:w w:val="90"/>
              </w:rPr>
              <w:t>Fiscal 2017</w:t>
            </w:r>
          </w:p>
        </w:tc>
        <w:tc>
          <w:tcPr>
            <w:tcW w:w="3280" w:type="dxa"/>
            <w:vAlign w:val="bottom"/>
            <w:gridSpan w:val="2"/>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4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217,108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203,180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194,564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212,066</w:t>
            </w:r>
          </w:p>
        </w:tc>
      </w:tr>
      <w:tr>
        <w:trPr>
          <w:trHeight w:val="196"/>
        </w:trPr>
        <w:tc>
          <w:tcPr>
            <w:tcW w:w="404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85,494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78,717</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75,920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85,946</w:t>
            </w:r>
          </w:p>
        </w:tc>
      </w:tr>
      <w:tr>
        <w:trPr>
          <w:trHeight w:val="196"/>
        </w:trPr>
        <w:tc>
          <w:tcPr>
            <w:tcW w:w="4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w:t>
            </w: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28,995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24,604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24,285</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29,161</w:t>
            </w:r>
          </w:p>
        </w:tc>
      </w:tr>
      <w:tr>
        <w:trPr>
          <w:trHeight w:val="196"/>
        </w:trPr>
        <w:tc>
          <w:tcPr>
            <w:tcW w:w="4040" w:type="dxa"/>
            <w:vAlign w:val="bottom"/>
            <w:gridSpan w:val="3"/>
          </w:tcPr>
          <w:p>
            <w:pPr>
              <w:spacing w:after="0"/>
              <w:rPr>
                <w:sz w:val="20"/>
                <w:szCs w:val="20"/>
                <w:color w:val="auto"/>
              </w:rPr>
            </w:pPr>
            <w:r>
              <w:rPr>
                <w:rFonts w:ascii="Arial" w:cs="Arial" w:eastAsia="Arial" w:hAnsi="Arial"/>
                <w:sz w:val="16"/>
                <w:szCs w:val="16"/>
                <w:color w:val="auto"/>
              </w:rPr>
              <w:t>Earnings per common share – basic</w:t>
            </w:r>
          </w:p>
        </w:tc>
        <w:tc>
          <w:tcPr>
            <w:tcW w:w="2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r>
      <w:tr>
        <w:trPr>
          <w:trHeight w:val="196"/>
        </w:trPr>
        <w:tc>
          <w:tcPr>
            <w:tcW w:w="4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Earnings per common share – diluted</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r>
      <w:tr>
        <w:trPr>
          <w:trHeight w:val="391"/>
        </w:trPr>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20" w:type="dxa"/>
            <w:vAlign w:val="bottom"/>
          </w:tcPr>
          <w:p>
            <w:pPr>
              <w:jc w:val="right"/>
              <w:ind w:right="178"/>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2"/>
          </w:cols>
          <w:pgMar w:left="238" w:top="120" w:right="219" w:bottom="1440" w:gutter="0" w:footer="0" w:header="0"/>
        </w:sectPr>
      </w:pPr>
    </w:p>
    <w:bookmarkStart w:id="43" w:name="page44"/>
    <w:bookmarkEnd w:id="4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National Beverage Corp.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 xml:space="preserve">We have audited the accompanying consolidated balance sheets of National Beverage Corp. (the Company) as of April 28, 2018 and April 29, 2017, and the related consolidated statements of income, comprehensive income, stockholders' equity and cash flows for each of the three years in the period ended April 28, 2018, and the related notes (collectively, the financial statements). We also have audited the Company’s internal control over financial reporting as of April 28, 2018, based on criteria established in </w:t>
      </w:r>
      <w:r>
        <w:rPr>
          <w:rFonts w:ascii="Arial" w:cs="Arial" w:eastAsia="Arial" w:hAnsi="Arial"/>
          <w:sz w:val="15"/>
          <w:szCs w:val="15"/>
          <w:i w:val="1"/>
          <w:iCs w:val="1"/>
          <w:color w:val="auto"/>
        </w:rPr>
        <w:t xml:space="preserve">Internal Control — Integrated Framework </w:t>
      </w:r>
      <w:r>
        <w:rPr>
          <w:rFonts w:ascii="Arial" w:cs="Arial" w:eastAsia="Arial" w:hAnsi="Arial"/>
          <w:sz w:val="15"/>
          <w:szCs w:val="15"/>
          <w:color w:val="auto"/>
        </w:rPr>
        <w:t>issued by the Committee of Sponsoring Organizations of the Treadway Commission in 2013.</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April 28, 2018 and April 29, 2017, and the results of their operations and their cash flows for each of the years in the three-year period ended April 28, 2018, in conformity with accounting principles generally accepted in the United States of America. Also in our opinion, the Company maintained, in all material respects, effective internal control over financial reporting as of April 28,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27"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4" w:name="page45"/>
    <w:bookmarkEnd w:id="4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June 27, 2018</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45" w:name="page46"/>
    <w:bookmarkEnd w:id="4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0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As of the end of the period covered by this Annual Report on Form 10-K,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as amended (the “Exchange Act”)). Based upon that evaluation, the Chief Executive Officer and Principal Financial Officer concluded that our disclosure controls and procedures were effective to ensure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on Internal Control over Financial Reporting</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in 2013. Based on that evaluation, our management concluded that our internal control over financial reporting was effective as of April 28, 2018.</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Management recognizes that there are inherent limitations in the effectiveness of any internal control over financial reporting, including the possibility of human error and the circumvention or overriding of internal control. Accordingly, even effective internal control over financial reporting can provide only reasonable assurance with respect to financial statement preparation. Further, because of changes in conditions, the effectiveness of internal control may vary over time.</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RSM US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There were no changes in our internal control over financial reporting during the quarter ended April 28, 2018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25932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6" w:name="page47"/>
    <w:bookmarkEnd w:id="46"/>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ind w:left="2"/>
        <w:spacing w:after="0"/>
        <w:tabs>
          <w:tab w:leader="none" w:pos="922" w:val="left"/>
        </w:tabs>
        <w:rPr>
          <w:sz w:val="20"/>
          <w:szCs w:val="20"/>
          <w:color w:val="auto"/>
        </w:rPr>
      </w:pPr>
      <w:r>
        <w:rPr>
          <w:rFonts w:ascii="Arial" w:cs="Arial" w:eastAsia="Arial" w:hAnsi="Arial"/>
          <w:sz w:val="16"/>
          <w:szCs w:val="16"/>
          <w:b w:val="1"/>
          <w:bCs w:val="1"/>
          <w:color w:val="auto"/>
        </w:rPr>
        <w:t>ITEM 9B.</w:t>
        <w:tab/>
        <w:t>OTHER INFORMATION</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PART III</w:t>
      </w:r>
    </w:p>
    <w:p>
      <w:pPr>
        <w:spacing w:after="0" w:line="208" w:lineRule="exact"/>
        <w:rPr>
          <w:sz w:val="20"/>
          <w:szCs w:val="20"/>
          <w:color w:val="auto"/>
        </w:rPr>
      </w:pPr>
    </w:p>
    <w:p>
      <w:pPr>
        <w:ind w:left="2"/>
        <w:spacing w:after="0"/>
        <w:tabs>
          <w:tab w:leader="none" w:pos="902"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212" w:lineRule="exact"/>
        <w:rPr>
          <w:sz w:val="20"/>
          <w:szCs w:val="20"/>
          <w:color w:val="auto"/>
        </w:rPr>
      </w:pPr>
    </w:p>
    <w:p>
      <w:pPr>
        <w:jc w:val="both"/>
        <w:ind w:left="2" w:right="20"/>
        <w:spacing w:after="0" w:line="270" w:lineRule="auto"/>
        <w:rPr>
          <w:sz w:val="20"/>
          <w:szCs w:val="20"/>
          <w:color w:val="auto"/>
        </w:rPr>
      </w:pPr>
      <w:r>
        <w:rPr>
          <w:rFonts w:ascii="Arial" w:cs="Arial" w:eastAsia="Arial" w:hAnsi="Arial"/>
          <w:sz w:val="16"/>
          <w:szCs w:val="16"/>
          <w:color w:val="auto"/>
        </w:rPr>
        <w:t>The information required by Item 10 will be included under the captions “Election of Directors”, “Information as to Nominees and Other Directors”, “Information Regarding Meetings and Committees of the Board” and “Section 16(a) Beneficial Ownership Reporting Compliance” in the Company’s 2018 Proxy Statement and is incorporated herein by reference.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sets forth certain information with respect to the officers of the Registrant as of April 28, 2018:</w:t>
      </w:r>
    </w:p>
    <w:p>
      <w:pPr>
        <w:spacing w:after="0" w:line="195" w:lineRule="exact"/>
        <w:rPr>
          <w:sz w:val="20"/>
          <w:szCs w:val="20"/>
          <w:color w:val="auto"/>
        </w:rPr>
      </w:pPr>
    </w:p>
    <w:tbl>
      <w:tblPr>
        <w:tblLayout w:type="fixed"/>
        <w:tblInd w:w="582"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color w:val="auto"/>
                <w:w w:val="88"/>
              </w:rPr>
              <w:t>Name</w:t>
            </w:r>
          </w:p>
        </w:tc>
        <w:tc>
          <w:tcPr>
            <w:tcW w:w="2140" w:type="dxa"/>
            <w:vAlign w:val="bottom"/>
          </w:tcPr>
          <w:p>
            <w:pPr>
              <w:spacing w:after="0"/>
              <w:rPr>
                <w:sz w:val="16"/>
                <w:szCs w:val="16"/>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w w:val="84"/>
              </w:rPr>
              <w:t>Age</w:t>
            </w: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rPr>
              <w:t>Position with Company</w:t>
            </w:r>
          </w:p>
        </w:tc>
      </w:tr>
      <w:tr>
        <w:trPr>
          <w:trHeight w:val="20"/>
        </w:trPr>
        <w:tc>
          <w:tcPr>
            <w:tcW w:w="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6"/>
        </w:trPr>
        <w:tc>
          <w:tcPr>
            <w:tcW w:w="2540" w:type="dxa"/>
            <w:vAlign w:val="bottom"/>
            <w:gridSpan w:val="2"/>
          </w:tcPr>
          <w:p>
            <w:pPr>
              <w:spacing w:after="0"/>
              <w:rPr>
                <w:sz w:val="20"/>
                <w:szCs w:val="20"/>
                <w:color w:val="auto"/>
              </w:rPr>
            </w:pPr>
            <w:r>
              <w:rPr>
                <w:rFonts w:ascii="Arial" w:cs="Arial" w:eastAsia="Arial" w:hAnsi="Arial"/>
                <w:sz w:val="16"/>
                <w:szCs w:val="16"/>
                <w:color w:val="auto"/>
              </w:rPr>
              <w:t>Nick A. Caporella</w:t>
            </w:r>
            <w:r>
              <w:rPr>
                <w:rFonts w:ascii="Arial" w:cs="Arial" w:eastAsia="Arial" w:hAnsi="Arial"/>
                <w:sz w:val="27"/>
                <w:szCs w:val="27"/>
                <w:color w:val="auto"/>
                <w:vertAlign w:val="superscript"/>
              </w:rPr>
              <w:t>(1)</w:t>
            </w: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82</w:t>
            </w: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rPr>
              <w:t>Chairman of the Board and</w:t>
            </w:r>
          </w:p>
        </w:tc>
      </w:tr>
      <w:tr>
        <w:trPr>
          <w:trHeight w:val="207"/>
        </w:trPr>
        <w:tc>
          <w:tcPr>
            <w:tcW w:w="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rPr>
              <w:t>Chief Executive Officer</w:t>
            </w:r>
          </w:p>
        </w:tc>
      </w:tr>
      <w:tr>
        <w:trPr>
          <w:trHeight w:val="541"/>
        </w:trPr>
        <w:tc>
          <w:tcPr>
            <w:tcW w:w="2540" w:type="dxa"/>
            <w:vAlign w:val="bottom"/>
            <w:gridSpan w:val="2"/>
          </w:tcPr>
          <w:p>
            <w:pPr>
              <w:spacing w:after="0"/>
              <w:rPr>
                <w:sz w:val="20"/>
                <w:szCs w:val="20"/>
                <w:color w:val="auto"/>
              </w:rPr>
            </w:pPr>
            <w:r>
              <w:rPr>
                <w:rFonts w:ascii="Arial" w:cs="Arial" w:eastAsia="Arial" w:hAnsi="Arial"/>
                <w:sz w:val="16"/>
                <w:szCs w:val="16"/>
                <w:color w:val="auto"/>
              </w:rPr>
              <w:t>Joseph G. Caporella</w:t>
            </w:r>
            <w:r>
              <w:rPr>
                <w:rFonts w:ascii="Arial" w:cs="Arial" w:eastAsia="Arial" w:hAnsi="Arial"/>
                <w:sz w:val="27"/>
                <w:szCs w:val="27"/>
                <w:color w:val="auto"/>
                <w:vertAlign w:val="superscript"/>
              </w:rPr>
              <w:t>(2)</w:t>
            </w: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58</w:t>
            </w: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rPr>
              <w:t>President</w:t>
            </w:r>
          </w:p>
        </w:tc>
      </w:tr>
      <w:tr>
        <w:trPr>
          <w:trHeight w:val="428"/>
        </w:trPr>
        <w:tc>
          <w:tcPr>
            <w:tcW w:w="2540" w:type="dxa"/>
            <w:vAlign w:val="bottom"/>
            <w:gridSpan w:val="2"/>
          </w:tcPr>
          <w:p>
            <w:pPr>
              <w:spacing w:after="0"/>
              <w:rPr>
                <w:sz w:val="20"/>
                <w:szCs w:val="20"/>
                <w:color w:val="auto"/>
              </w:rPr>
            </w:pPr>
            <w:r>
              <w:rPr>
                <w:rFonts w:ascii="Arial" w:cs="Arial" w:eastAsia="Arial" w:hAnsi="Arial"/>
                <w:sz w:val="16"/>
                <w:szCs w:val="16"/>
                <w:color w:val="auto"/>
              </w:rPr>
              <w:t>George R. Bracken</w:t>
            </w:r>
            <w:r>
              <w:rPr>
                <w:rFonts w:ascii="Arial" w:cs="Arial" w:eastAsia="Arial" w:hAnsi="Arial"/>
                <w:sz w:val="27"/>
                <w:szCs w:val="27"/>
                <w:color w:val="auto"/>
                <w:vertAlign w:val="superscript"/>
              </w:rPr>
              <w:t>(3)</w:t>
            </w: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72</w:t>
            </w: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w w:val="91"/>
              </w:rPr>
              <w:t>Executive Vice President – Finance</w:t>
            </w:r>
          </w:p>
        </w:tc>
      </w:tr>
      <w:tr>
        <w:trPr>
          <w:trHeight w:val="268"/>
        </w:trPr>
        <w:tc>
          <w:tcPr>
            <w:tcW w:w="2540" w:type="dxa"/>
            <w:vAlign w:val="bottom"/>
            <w:gridSpan w:val="2"/>
          </w:tcPr>
          <w:p>
            <w:pPr>
              <w:spacing w:after="0" w:line="268" w:lineRule="exact"/>
              <w:rPr>
                <w:sz w:val="20"/>
                <w:szCs w:val="20"/>
                <w:color w:val="auto"/>
              </w:rPr>
            </w:pPr>
            <w:r>
              <w:rPr>
                <w:rFonts w:ascii="Arial" w:cs="Arial" w:eastAsia="Arial" w:hAnsi="Arial"/>
                <w:sz w:val="16"/>
                <w:szCs w:val="16"/>
                <w:color w:val="auto"/>
              </w:rPr>
              <w:t>Gregory P. Cook</w:t>
            </w:r>
            <w:r>
              <w:rPr>
                <w:rFonts w:ascii="Arial" w:cs="Arial" w:eastAsia="Arial" w:hAnsi="Arial"/>
                <w:sz w:val="27"/>
                <w:szCs w:val="27"/>
                <w:color w:val="auto"/>
                <w:vertAlign w:val="superscript"/>
              </w:rPr>
              <w:t>(4)</w:t>
            </w: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60</w:t>
            </w: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rPr>
              <w:t>Vice President – Controller and</w:t>
            </w:r>
          </w:p>
        </w:tc>
      </w:tr>
      <w:tr>
        <w:trPr>
          <w:trHeight w:val="207"/>
        </w:trPr>
        <w:tc>
          <w:tcPr>
            <w:tcW w:w="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80" w:type="dxa"/>
            <w:vAlign w:val="bottom"/>
            <w:gridSpan w:val="3"/>
          </w:tcPr>
          <w:p>
            <w:pPr>
              <w:ind w:left="3360"/>
              <w:spacing w:after="0"/>
              <w:rPr>
                <w:sz w:val="20"/>
                <w:szCs w:val="20"/>
                <w:color w:val="auto"/>
              </w:rPr>
            </w:pPr>
            <w:r>
              <w:rPr>
                <w:rFonts w:ascii="Arial" w:cs="Arial" w:eastAsia="Arial" w:hAnsi="Arial"/>
                <w:sz w:val="16"/>
                <w:szCs w:val="16"/>
                <w:color w:val="auto"/>
              </w:rPr>
              <w:t>Chief Accounting Officer</w:t>
            </w:r>
          </w:p>
        </w:tc>
      </w:tr>
    </w:tbl>
    <w:p>
      <w:pPr>
        <w:spacing w:after="0" w:line="380" w:lineRule="exact"/>
        <w:rPr>
          <w:sz w:val="20"/>
          <w:szCs w:val="20"/>
          <w:color w:val="auto"/>
        </w:rPr>
      </w:pPr>
    </w:p>
    <w:p>
      <w:pPr>
        <w:ind w:left="2"/>
        <w:spacing w:after="0"/>
        <w:rPr>
          <w:sz w:val="20"/>
          <w:szCs w:val="20"/>
          <w:color w:val="auto"/>
        </w:rPr>
      </w:pPr>
      <w:r>
        <w:rPr>
          <w:rFonts w:ascii="Arial" w:cs="Arial" w:eastAsia="Arial" w:hAnsi="Arial"/>
          <w:sz w:val="16"/>
          <w:szCs w:val="16"/>
          <w:color w:val="auto"/>
        </w:rPr>
        <w:t>_______________________________</w:t>
      </w:r>
    </w:p>
    <w:p>
      <w:pPr>
        <w:spacing w:after="0" w:line="23" w:lineRule="exact"/>
        <w:rPr>
          <w:sz w:val="20"/>
          <w:szCs w:val="20"/>
          <w:color w:val="auto"/>
        </w:rPr>
      </w:pPr>
    </w:p>
    <w:p>
      <w:pPr>
        <w:jc w:val="both"/>
        <w:ind w:left="582" w:right="20" w:hanging="582"/>
        <w:spacing w:after="0" w:line="207" w:lineRule="auto"/>
        <w:tabs>
          <w:tab w:leader="none" w:pos="582"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Mr. Nick A. Caporella has served as Chairman of the Board, Chief Executive Officer and Director since the Company’s inception in 1985. Also, he serves as Chairman of the Nominating Committee. Since 1992, Mr. Caporella’s services have been provided to the Company by Corporate Management Advisors, Inc., a company he owns.</w:t>
      </w:r>
    </w:p>
    <w:p>
      <w:pPr>
        <w:spacing w:after="0" w:line="2" w:lineRule="exact"/>
        <w:rPr>
          <w:rFonts w:ascii="Arial" w:cs="Arial" w:eastAsia="Arial" w:hAnsi="Arial"/>
          <w:sz w:val="27"/>
          <w:szCs w:val="27"/>
          <w:color w:val="auto"/>
          <w:vertAlign w:val="superscript"/>
        </w:rPr>
      </w:pPr>
    </w:p>
    <w:p>
      <w:pPr>
        <w:ind w:left="582" w:right="20" w:hanging="582"/>
        <w:spacing w:after="0" w:line="190" w:lineRule="auto"/>
        <w:tabs>
          <w:tab w:leader="none" w:pos="582"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Mr. Joseph G. Caporella has served as President since September 2002 and, prior to that, as Executive Vice President and Secretary since January 1991. Also, he has served as a Director since January 1987. Joseph G. Caporella is the son of Nick A. Caporella.</w:t>
      </w:r>
    </w:p>
    <w:p>
      <w:pPr>
        <w:jc w:val="both"/>
        <w:ind w:left="582" w:right="20" w:hanging="582"/>
        <w:spacing w:after="0" w:line="207" w:lineRule="auto"/>
        <w:tabs>
          <w:tab w:leader="none" w:pos="582"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Mr. George R. Bracken has served as Executive Vice President - Finance since July 2012. Previously, he served as Senior Vice President – Finance from October 2000 to July 2012 and Vice President and Treasurer from October 1996 to October 2000. Since 1992, Mr. Bracken’s services have been provided to the Company by Corporate Management Advisors, Inc.</w:t>
      </w:r>
    </w:p>
    <w:p>
      <w:pPr>
        <w:spacing w:after="0" w:line="2" w:lineRule="exact"/>
        <w:rPr>
          <w:rFonts w:ascii="Arial" w:cs="Arial" w:eastAsia="Arial" w:hAnsi="Arial"/>
          <w:sz w:val="27"/>
          <w:szCs w:val="27"/>
          <w:color w:val="auto"/>
          <w:vertAlign w:val="superscript"/>
        </w:rPr>
      </w:pPr>
    </w:p>
    <w:p>
      <w:pPr>
        <w:ind w:left="582" w:hanging="582"/>
        <w:spacing w:after="0" w:line="190" w:lineRule="auto"/>
        <w:tabs>
          <w:tab w:leader="none" w:pos="582"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Mr. Gregory P. Cook has served as Vice President – Controller and Chief Accounting Officer since July 15, 2014. Previously, he served as Vice-President – Controller since September 2012 and, prior to that date, as Controller since August 2007.</w:t>
      </w:r>
    </w:p>
    <w:p>
      <w:pPr>
        <w:spacing w:after="0" w:line="185" w:lineRule="exact"/>
        <w:rPr>
          <w:sz w:val="20"/>
          <w:szCs w:val="20"/>
          <w:color w:val="auto"/>
        </w:rPr>
      </w:pPr>
    </w:p>
    <w:p>
      <w:pPr>
        <w:ind w:left="2" w:right="20"/>
        <w:spacing w:after="0" w:line="285" w:lineRule="auto"/>
        <w:rPr>
          <w:sz w:val="20"/>
          <w:szCs w:val="20"/>
          <w:color w:val="auto"/>
        </w:rPr>
      </w:pPr>
      <w:r>
        <w:rPr>
          <w:rFonts w:ascii="Arial" w:cs="Arial" w:eastAsia="Arial" w:hAnsi="Arial"/>
          <w:sz w:val="16"/>
          <w:szCs w:val="16"/>
          <w:color w:val="auto"/>
        </w:rPr>
        <w:t>All officers serve until their successors are chosen and may be removed at any time by the Board of Directors. Officers are normally appointed each year at the first meeting of the Board of Directors after the annual meeting of shareholders.</w:t>
      </w:r>
    </w:p>
    <w:p>
      <w:pPr>
        <w:spacing w:after="0" w:line="151"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2"/>
          </w:cols>
          <w:pgMar w:left="238" w:top="120" w:right="219" w:bottom="1440" w:gutter="0" w:footer="0" w:header="0"/>
        </w:sectPr>
      </w:pPr>
    </w:p>
    <w:bookmarkStart w:id="47" w:name="page48"/>
    <w:bookmarkEnd w:id="4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00" w:lineRule="exact"/>
        <w:rPr>
          <w:sz w:val="20"/>
          <w:szCs w:val="20"/>
          <w:color w:val="auto"/>
        </w:rPr>
      </w:pPr>
    </w:p>
    <w:p>
      <w:pPr>
        <w:spacing w:after="0" w:line="2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information required by Item 11 will be included under the captions “Executive Compensation and Other Information” and “Compensation Committee Interlocks and Insider Participation” in the Company’s 2018 Proxy Statement and is incorporated herein by reference.</w:t>
      </w:r>
    </w:p>
    <w:p>
      <w:pPr>
        <w:spacing w:after="0" w:line="147"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information required by Item 12 will be included under the captions “Security Ownership” and “Equity Compensation Plan Information” in the Company’s 2018 Proxy Statement and is incorporated herein by reference.</w:t>
      </w:r>
    </w:p>
    <w:p>
      <w:pPr>
        <w:spacing w:after="0" w:line="147"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 AND DIRECTOR INDEPENDENCE</w:t>
      </w:r>
    </w:p>
    <w:p>
      <w:pPr>
        <w:spacing w:after="0" w:line="200" w:lineRule="exact"/>
        <w:rPr>
          <w:sz w:val="20"/>
          <w:szCs w:val="20"/>
          <w:color w:val="auto"/>
        </w:rPr>
      </w:pPr>
    </w:p>
    <w:p>
      <w:pPr>
        <w:spacing w:after="0" w:line="2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information required by Item 13 will be included under the captions “Certain Relationships and Related Party Transactions” and “Information Regarding Meetings and Committees of the Board” in the Company’s 2018 Proxy Statement and is incorporated herein by reference.</w:t>
      </w:r>
    </w:p>
    <w:p>
      <w:pPr>
        <w:spacing w:after="0" w:line="147"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00" w:lineRule="exact"/>
        <w:rPr>
          <w:sz w:val="20"/>
          <w:szCs w:val="20"/>
          <w:color w:val="auto"/>
        </w:rPr>
      </w:pPr>
    </w:p>
    <w:p>
      <w:pPr>
        <w:spacing w:after="0" w:line="2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information required by Item 14 will be included under the caption “Independent Auditors” in the Company’s 2018 Proxy Statement and is incorporated herein by reference.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08"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12" w:lineRule="exact"/>
        <w:rPr>
          <w:sz w:val="20"/>
          <w:szCs w:val="20"/>
          <w:color w:val="auto"/>
        </w:rPr>
      </w:pPr>
    </w:p>
    <w:p>
      <w:pPr>
        <w:spacing w:after="0"/>
        <w:tabs>
          <w:tab w:leader="none" w:pos="520" w:val="left"/>
          <w:tab w:leader="none" w:pos="10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following documents are filed as part of this report:</w:t>
      </w:r>
      <w:r>
        <w:rPr>
          <w:sz w:val="20"/>
          <w:szCs w:val="20"/>
          <w:color w:val="auto"/>
        </w:rPr>
        <w:tab/>
      </w:r>
      <w:r>
        <w:rPr>
          <w:rFonts w:ascii="Arial" w:cs="Arial" w:eastAsia="Arial" w:hAnsi="Arial"/>
          <w:sz w:val="13"/>
          <w:szCs w:val="13"/>
          <w:color w:val="auto"/>
        </w:rPr>
        <w:t>Page</w:t>
      </w:r>
    </w:p>
    <w:p>
      <w:pPr>
        <w:spacing w:after="0" w:line="23" w:lineRule="exact"/>
        <w:rPr>
          <w:sz w:val="20"/>
          <w:szCs w:val="20"/>
          <w:color w:val="auto"/>
        </w:rPr>
      </w:pPr>
    </w:p>
    <w:p>
      <w:pPr>
        <w:ind w:left="1100" w:hanging="551"/>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Statements</w:t>
      </w: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20" w:type="dxa"/>
            <w:vAlign w:val="bottom"/>
            <w:gridSpan w:val="8"/>
          </w:tcPr>
          <w:p>
            <w:pPr>
              <w:spacing w:after="0" w:line="172" w:lineRule="exact"/>
              <w:rPr>
                <w:rFonts w:ascii="Arial" w:cs="Arial" w:eastAsia="Arial" w:hAnsi="Arial"/>
                <w:sz w:val="16"/>
                <w:szCs w:val="16"/>
                <w:color w:val="0000EE"/>
              </w:rPr>
            </w:pPr>
            <w:hyperlink w:anchor="page25">
              <w:r>
                <w:rPr>
                  <w:rFonts w:ascii="Arial" w:cs="Arial" w:eastAsia="Arial" w:hAnsi="Arial"/>
                  <w:sz w:val="16"/>
                  <w:szCs w:val="16"/>
                  <w:color w:val="0000EE"/>
                </w:rPr>
                <w:t>Consolidated Balance Sheets</w:t>
              </w:r>
            </w:hyperlink>
          </w:p>
        </w:tc>
        <w:tc>
          <w:tcPr>
            <w:tcW w:w="6080" w:type="dxa"/>
            <w:vAlign w:val="bottom"/>
          </w:tcPr>
          <w:p>
            <w:pPr>
              <w:jc w:val="right"/>
              <w:ind w:right="498"/>
              <w:spacing w:after="0" w:line="172" w:lineRule="exact"/>
              <w:rPr>
                <w:sz w:val="20"/>
                <w:szCs w:val="20"/>
                <w:color w:val="auto"/>
              </w:rPr>
            </w:pPr>
            <w:r>
              <w:rPr>
                <w:rFonts w:ascii="Arial" w:cs="Arial" w:eastAsia="Arial" w:hAnsi="Arial"/>
                <w:sz w:val="16"/>
                <w:szCs w:val="16"/>
                <w:color w:val="auto"/>
              </w:rPr>
              <w:t>24</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tcBorders>
              <w:bottom w:val="single" w:sz="8" w:color="0000EE"/>
            </w:tcBorders>
            <w:gridSpan w:val="2"/>
          </w:tcPr>
          <w:p>
            <w:pPr>
              <w:spacing w:after="0" w:line="176" w:lineRule="exact"/>
              <w:rPr>
                <w:rFonts w:ascii="Arial" w:cs="Arial" w:eastAsia="Arial" w:hAnsi="Arial"/>
                <w:sz w:val="16"/>
                <w:szCs w:val="16"/>
                <w:color w:val="0000EE"/>
                <w:w w:val="91"/>
              </w:rPr>
            </w:pPr>
            <w:hyperlink w:anchor="page26">
              <w:r>
                <w:rPr>
                  <w:rFonts w:ascii="Arial" w:cs="Arial" w:eastAsia="Arial" w:hAnsi="Arial"/>
                  <w:sz w:val="16"/>
                  <w:szCs w:val="16"/>
                  <w:color w:val="0000EE"/>
                  <w:w w:val="91"/>
                </w:rPr>
                <w:t>Consolidated Statements of Income</w:t>
              </w:r>
            </w:hyperlink>
          </w:p>
        </w:tc>
        <w:tc>
          <w:tcPr>
            <w:tcW w:w="1780" w:type="dxa"/>
            <w:vAlign w:val="bottom"/>
            <w:gridSpan w:val="6"/>
          </w:tcPr>
          <w:p>
            <w:pPr>
              <w:spacing w:after="0"/>
              <w:rPr>
                <w:sz w:val="15"/>
                <w:szCs w:val="15"/>
                <w:color w:val="auto"/>
              </w:rPr>
            </w:pPr>
          </w:p>
        </w:tc>
        <w:tc>
          <w:tcPr>
            <w:tcW w:w="6080" w:type="dxa"/>
            <w:vAlign w:val="bottom"/>
          </w:tcPr>
          <w:p>
            <w:pPr>
              <w:jc w:val="right"/>
              <w:ind w:right="498"/>
              <w:spacing w:after="0" w:line="176" w:lineRule="exact"/>
              <w:rPr>
                <w:sz w:val="20"/>
                <w:szCs w:val="20"/>
                <w:color w:val="auto"/>
              </w:rPr>
            </w:pPr>
            <w:r>
              <w:rPr>
                <w:rFonts w:ascii="Arial" w:cs="Arial" w:eastAsia="Arial" w:hAnsi="Arial"/>
                <w:sz w:val="16"/>
                <w:szCs w:val="16"/>
                <w:color w:val="auto"/>
              </w:rPr>
              <w:t>25</w:t>
            </w: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Borders>
              <w:bottom w:val="single" w:sz="8" w:color="0000EE"/>
            </w:tcBorders>
            <w:gridSpan w:val="6"/>
          </w:tcPr>
          <w:p>
            <w:pPr>
              <w:spacing w:after="0" w:line="176" w:lineRule="exact"/>
              <w:rPr>
                <w:rFonts w:ascii="Arial" w:cs="Arial" w:eastAsia="Arial" w:hAnsi="Arial"/>
                <w:sz w:val="16"/>
                <w:szCs w:val="16"/>
                <w:color w:val="0000EE"/>
                <w:w w:val="91"/>
              </w:rPr>
            </w:pPr>
            <w:hyperlink w:anchor="page27">
              <w:r>
                <w:rPr>
                  <w:rFonts w:ascii="Arial" w:cs="Arial" w:eastAsia="Arial" w:hAnsi="Arial"/>
                  <w:sz w:val="16"/>
                  <w:szCs w:val="16"/>
                  <w:color w:val="0000EE"/>
                  <w:w w:val="91"/>
                </w:rPr>
                <w:t>Consolidated Statements of Comprehensive Income</w:t>
              </w:r>
            </w:hyperlink>
          </w:p>
        </w:tc>
        <w:tc>
          <w:tcPr>
            <w:tcW w:w="720" w:type="dxa"/>
            <w:vAlign w:val="bottom"/>
            <w:gridSpan w:val="2"/>
          </w:tcPr>
          <w:p>
            <w:pPr>
              <w:spacing w:after="0"/>
              <w:rPr>
                <w:sz w:val="15"/>
                <w:szCs w:val="15"/>
                <w:color w:val="auto"/>
              </w:rPr>
            </w:pPr>
          </w:p>
        </w:tc>
        <w:tc>
          <w:tcPr>
            <w:tcW w:w="6080" w:type="dxa"/>
            <w:vAlign w:val="bottom"/>
          </w:tcPr>
          <w:p>
            <w:pPr>
              <w:jc w:val="right"/>
              <w:ind w:right="498"/>
              <w:spacing w:after="0" w:line="176" w:lineRule="exact"/>
              <w:rPr>
                <w:sz w:val="20"/>
                <w:szCs w:val="20"/>
                <w:color w:val="auto"/>
              </w:rPr>
            </w:pPr>
            <w:r>
              <w:rPr>
                <w:rFonts w:ascii="Arial" w:cs="Arial" w:eastAsia="Arial" w:hAnsi="Arial"/>
                <w:sz w:val="16"/>
                <w:szCs w:val="16"/>
                <w:color w:val="auto"/>
              </w:rPr>
              <w:t>26</w:t>
            </w: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20" w:type="dxa"/>
            <w:vAlign w:val="bottom"/>
            <w:gridSpan w:val="8"/>
          </w:tcPr>
          <w:p>
            <w:pPr>
              <w:spacing w:after="0" w:line="176" w:lineRule="exact"/>
              <w:rPr>
                <w:rFonts w:ascii="Arial" w:cs="Arial" w:eastAsia="Arial" w:hAnsi="Arial"/>
                <w:sz w:val="16"/>
                <w:szCs w:val="16"/>
                <w:color w:val="0000EE"/>
              </w:rPr>
            </w:pPr>
            <w:hyperlink w:anchor="page28">
              <w:r>
                <w:rPr>
                  <w:rFonts w:ascii="Arial" w:cs="Arial" w:eastAsia="Arial" w:hAnsi="Arial"/>
                  <w:sz w:val="16"/>
                  <w:szCs w:val="16"/>
                  <w:color w:val="0000EE"/>
                </w:rPr>
                <w:t>Consolidated Statements of Shareholders’ Equity</w:t>
              </w:r>
            </w:hyperlink>
          </w:p>
        </w:tc>
        <w:tc>
          <w:tcPr>
            <w:tcW w:w="6080" w:type="dxa"/>
            <w:vAlign w:val="bottom"/>
          </w:tcPr>
          <w:p>
            <w:pPr>
              <w:jc w:val="right"/>
              <w:ind w:right="498"/>
              <w:spacing w:after="0" w:line="176" w:lineRule="exact"/>
              <w:rPr>
                <w:sz w:val="20"/>
                <w:szCs w:val="20"/>
                <w:color w:val="auto"/>
              </w:rPr>
            </w:pPr>
            <w:r>
              <w:rPr>
                <w:rFonts w:ascii="Arial" w:cs="Arial" w:eastAsia="Arial" w:hAnsi="Arial"/>
                <w:sz w:val="16"/>
                <w:szCs w:val="16"/>
                <w:color w:val="auto"/>
              </w:rPr>
              <w:t>27</w:t>
            </w: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20" w:type="dxa"/>
            <w:vAlign w:val="bottom"/>
            <w:tcBorders>
              <w:top w:val="single" w:sz="8" w:color="0000EE"/>
            </w:tcBorders>
            <w:gridSpan w:val="5"/>
          </w:tcPr>
          <w:p>
            <w:pPr>
              <w:spacing w:after="0" w:line="176" w:lineRule="exact"/>
              <w:rPr>
                <w:rFonts w:ascii="Arial" w:cs="Arial" w:eastAsia="Arial" w:hAnsi="Arial"/>
                <w:sz w:val="16"/>
                <w:szCs w:val="16"/>
                <w:color w:val="0000EE"/>
              </w:rPr>
            </w:pPr>
            <w:hyperlink w:anchor="page29">
              <w:r>
                <w:rPr>
                  <w:rFonts w:ascii="Arial" w:cs="Arial" w:eastAsia="Arial" w:hAnsi="Arial"/>
                  <w:sz w:val="16"/>
                  <w:szCs w:val="16"/>
                  <w:color w:val="0000EE"/>
                </w:rPr>
                <w:t>Consolidated Statements of Cash Flows</w:t>
              </w:r>
            </w:hyperlink>
          </w:p>
        </w:tc>
        <w:tc>
          <w:tcPr>
            <w:tcW w:w="900" w:type="dxa"/>
            <w:vAlign w:val="bottom"/>
            <w:gridSpan w:val="3"/>
          </w:tcPr>
          <w:p>
            <w:pPr>
              <w:spacing w:after="0"/>
              <w:rPr>
                <w:sz w:val="15"/>
                <w:szCs w:val="15"/>
                <w:color w:val="auto"/>
              </w:rPr>
            </w:pPr>
          </w:p>
        </w:tc>
        <w:tc>
          <w:tcPr>
            <w:tcW w:w="6080" w:type="dxa"/>
            <w:vAlign w:val="bottom"/>
          </w:tcPr>
          <w:p>
            <w:pPr>
              <w:jc w:val="right"/>
              <w:ind w:right="498"/>
              <w:spacing w:after="0" w:line="176" w:lineRule="exact"/>
              <w:rPr>
                <w:sz w:val="20"/>
                <w:szCs w:val="20"/>
                <w:color w:val="auto"/>
              </w:rPr>
            </w:pPr>
            <w:r>
              <w:rPr>
                <w:rFonts w:ascii="Arial" w:cs="Arial" w:eastAsia="Arial" w:hAnsi="Arial"/>
                <w:sz w:val="16"/>
                <w:szCs w:val="16"/>
                <w:color w:val="auto"/>
              </w:rPr>
              <w:t>28</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20" w:type="dxa"/>
            <w:vAlign w:val="bottom"/>
            <w:gridSpan w:val="8"/>
          </w:tcPr>
          <w:p>
            <w:pPr>
              <w:spacing w:after="0" w:line="176" w:lineRule="exact"/>
              <w:rPr>
                <w:rFonts w:ascii="Arial" w:cs="Arial" w:eastAsia="Arial" w:hAnsi="Arial"/>
                <w:sz w:val="16"/>
                <w:szCs w:val="16"/>
                <w:color w:val="0000EE"/>
              </w:rPr>
            </w:pPr>
            <w:hyperlink w:anchor="page30">
              <w:r>
                <w:rPr>
                  <w:rFonts w:ascii="Arial" w:cs="Arial" w:eastAsia="Arial" w:hAnsi="Arial"/>
                  <w:sz w:val="16"/>
                  <w:szCs w:val="16"/>
                  <w:color w:val="0000EE"/>
                </w:rPr>
                <w:t>Notes to Consolidated Financial Statements</w:t>
              </w:r>
            </w:hyperlink>
          </w:p>
        </w:tc>
        <w:tc>
          <w:tcPr>
            <w:tcW w:w="6080" w:type="dxa"/>
            <w:vAlign w:val="bottom"/>
          </w:tcPr>
          <w:p>
            <w:pPr>
              <w:jc w:val="right"/>
              <w:ind w:right="498"/>
              <w:spacing w:after="0" w:line="176" w:lineRule="exact"/>
              <w:rPr>
                <w:sz w:val="20"/>
                <w:szCs w:val="20"/>
                <w:color w:val="auto"/>
              </w:rPr>
            </w:pPr>
            <w:r>
              <w:rPr>
                <w:rFonts w:ascii="Arial" w:cs="Arial" w:eastAsia="Arial" w:hAnsi="Arial"/>
                <w:sz w:val="16"/>
                <w:szCs w:val="16"/>
                <w:color w:val="auto"/>
              </w:rPr>
              <w:t>29</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40" w:type="dxa"/>
            <w:vAlign w:val="bottom"/>
            <w:tcBorders>
              <w:bottom w:val="single" w:sz="8" w:color="0000EE"/>
            </w:tcBorders>
            <w:gridSpan w:val="7"/>
          </w:tcPr>
          <w:p>
            <w:pPr>
              <w:spacing w:after="0" w:line="176" w:lineRule="exact"/>
              <w:rPr>
                <w:rFonts w:ascii="Arial" w:cs="Arial" w:eastAsia="Arial" w:hAnsi="Arial"/>
                <w:sz w:val="16"/>
                <w:szCs w:val="16"/>
                <w:color w:val="0000EE"/>
                <w:w w:val="93"/>
              </w:rPr>
            </w:pPr>
            <w:hyperlink w:anchor="page44">
              <w:r>
                <w:rPr>
                  <w:rFonts w:ascii="Arial" w:cs="Arial" w:eastAsia="Arial" w:hAnsi="Arial"/>
                  <w:sz w:val="16"/>
                  <w:szCs w:val="16"/>
                  <w:color w:val="0000EE"/>
                  <w:w w:val="93"/>
                </w:rPr>
                <w:t>Report of Independent Registered Public Accounting Firm</w:t>
              </w:r>
            </w:hyperlink>
          </w:p>
        </w:tc>
        <w:tc>
          <w:tcPr>
            <w:tcW w:w="280" w:type="dxa"/>
            <w:vAlign w:val="bottom"/>
          </w:tcPr>
          <w:p>
            <w:pPr>
              <w:spacing w:after="0"/>
              <w:rPr>
                <w:sz w:val="15"/>
                <w:szCs w:val="15"/>
                <w:color w:val="auto"/>
              </w:rPr>
            </w:pPr>
          </w:p>
        </w:tc>
        <w:tc>
          <w:tcPr>
            <w:tcW w:w="6080" w:type="dxa"/>
            <w:vAlign w:val="bottom"/>
          </w:tcPr>
          <w:p>
            <w:pPr>
              <w:jc w:val="right"/>
              <w:ind w:right="498"/>
              <w:spacing w:after="0" w:line="176" w:lineRule="exact"/>
              <w:rPr>
                <w:sz w:val="20"/>
                <w:szCs w:val="20"/>
                <w:color w:val="auto"/>
              </w:rPr>
            </w:pPr>
            <w:r>
              <w:rPr>
                <w:rFonts w:ascii="Arial" w:cs="Arial" w:eastAsia="Arial" w:hAnsi="Arial"/>
                <w:sz w:val="16"/>
                <w:szCs w:val="16"/>
                <w:color w:val="auto"/>
              </w:rPr>
              <w:t>43</w:t>
            </w:r>
          </w:p>
        </w:tc>
      </w:tr>
      <w:tr>
        <w:trPr>
          <w:trHeight w:val="200"/>
        </w:trPr>
        <w:tc>
          <w:tcPr>
            <w:tcW w:w="880" w:type="dxa"/>
            <w:vAlign w:val="bottom"/>
          </w:tcPr>
          <w:p>
            <w:pPr>
              <w:jc w:val="right"/>
              <w:ind w:right="118"/>
              <w:spacing w:after="0"/>
              <w:rPr>
                <w:sz w:val="20"/>
                <w:szCs w:val="20"/>
                <w:color w:val="auto"/>
              </w:rPr>
            </w:pPr>
            <w:r>
              <w:rPr>
                <w:rFonts w:ascii="Arial" w:cs="Arial" w:eastAsia="Arial" w:hAnsi="Arial"/>
                <w:sz w:val="16"/>
                <w:szCs w:val="16"/>
                <w:color w:val="auto"/>
              </w:rPr>
              <w:t>2.</w:t>
            </w:r>
          </w:p>
        </w:tc>
        <w:tc>
          <w:tcPr>
            <w:tcW w:w="4480" w:type="dxa"/>
            <w:vAlign w:val="bottom"/>
            <w:gridSpan w:val="9"/>
          </w:tcPr>
          <w:p>
            <w:pPr>
              <w:ind w:left="220"/>
              <w:spacing w:after="0"/>
              <w:rPr>
                <w:sz w:val="20"/>
                <w:szCs w:val="20"/>
                <w:color w:val="auto"/>
              </w:rPr>
            </w:pPr>
            <w:r>
              <w:rPr>
                <w:rFonts w:ascii="Arial" w:cs="Arial" w:eastAsia="Arial" w:hAnsi="Arial"/>
                <w:sz w:val="16"/>
                <w:szCs w:val="16"/>
                <w:color w:val="auto"/>
              </w:rPr>
              <w:t>Financial Statement Schedules</w:t>
            </w:r>
          </w:p>
        </w:tc>
        <w:tc>
          <w:tcPr>
            <w:tcW w:w="60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80" w:type="dxa"/>
            <w:vAlign w:val="bottom"/>
            <w:gridSpan w:val="9"/>
          </w:tcPr>
          <w:p>
            <w:pPr>
              <w:ind w:left="220"/>
              <w:spacing w:after="0"/>
              <w:rPr>
                <w:sz w:val="20"/>
                <w:szCs w:val="20"/>
                <w:color w:val="auto"/>
              </w:rPr>
            </w:pPr>
            <w:r>
              <w:rPr>
                <w:rFonts w:ascii="Arial" w:cs="Arial" w:eastAsia="Arial" w:hAnsi="Arial"/>
                <w:sz w:val="16"/>
                <w:szCs w:val="16"/>
                <w:color w:val="auto"/>
              </w:rPr>
              <w:t>Not applicable</w:t>
            </w:r>
          </w:p>
        </w:tc>
        <w:tc>
          <w:tcPr>
            <w:tcW w:w="6080" w:type="dxa"/>
            <w:vAlign w:val="bottom"/>
          </w:tcPr>
          <w:p>
            <w:pPr>
              <w:spacing w:after="0"/>
              <w:rPr>
                <w:sz w:val="17"/>
                <w:szCs w:val="17"/>
                <w:color w:val="auto"/>
              </w:rPr>
            </w:pPr>
          </w:p>
        </w:tc>
      </w:tr>
      <w:tr>
        <w:trPr>
          <w:trHeight w:val="196"/>
        </w:trPr>
        <w:tc>
          <w:tcPr>
            <w:tcW w:w="880" w:type="dxa"/>
            <w:vAlign w:val="bottom"/>
          </w:tcPr>
          <w:p>
            <w:pPr>
              <w:jc w:val="right"/>
              <w:ind w:right="118"/>
              <w:spacing w:after="0"/>
              <w:rPr>
                <w:sz w:val="20"/>
                <w:szCs w:val="20"/>
                <w:color w:val="auto"/>
              </w:rPr>
            </w:pPr>
            <w:r>
              <w:rPr>
                <w:rFonts w:ascii="Arial" w:cs="Arial" w:eastAsia="Arial" w:hAnsi="Arial"/>
                <w:sz w:val="16"/>
                <w:szCs w:val="16"/>
                <w:color w:val="auto"/>
              </w:rPr>
              <w:t>3.</w:t>
            </w:r>
          </w:p>
        </w:tc>
        <w:tc>
          <w:tcPr>
            <w:tcW w:w="4480" w:type="dxa"/>
            <w:vAlign w:val="bottom"/>
            <w:gridSpan w:val="9"/>
          </w:tcPr>
          <w:p>
            <w:pPr>
              <w:ind w:left="220"/>
              <w:spacing w:after="0"/>
              <w:rPr>
                <w:sz w:val="20"/>
                <w:szCs w:val="20"/>
                <w:color w:val="auto"/>
              </w:rPr>
            </w:pPr>
            <w:r>
              <w:rPr>
                <w:rFonts w:ascii="Arial" w:cs="Arial" w:eastAsia="Arial" w:hAnsi="Arial"/>
                <w:sz w:val="16"/>
                <w:szCs w:val="16"/>
                <w:color w:val="auto"/>
              </w:rPr>
              <w:t>Exhibits</w:t>
            </w:r>
          </w:p>
        </w:tc>
        <w:tc>
          <w:tcPr>
            <w:tcW w:w="6080" w:type="dxa"/>
            <w:vAlign w:val="bottom"/>
          </w:tcPr>
          <w:p>
            <w:pPr>
              <w:spacing w:after="0"/>
              <w:rPr>
                <w:sz w:val="17"/>
                <w:szCs w:val="17"/>
                <w:color w:val="auto"/>
              </w:rPr>
            </w:pPr>
          </w:p>
        </w:tc>
      </w:tr>
      <w:tr>
        <w:trPr>
          <w:trHeight w:val="207"/>
        </w:trPr>
        <w:tc>
          <w:tcPr>
            <w:tcW w:w="880" w:type="dxa"/>
            <w:vAlign w:val="bottom"/>
          </w:tcPr>
          <w:p>
            <w:pPr>
              <w:spacing w:after="0"/>
              <w:rPr>
                <w:sz w:val="18"/>
                <w:szCs w:val="18"/>
                <w:color w:val="auto"/>
              </w:rPr>
            </w:pPr>
          </w:p>
        </w:tc>
        <w:tc>
          <w:tcPr>
            <w:tcW w:w="4480" w:type="dxa"/>
            <w:vAlign w:val="bottom"/>
            <w:gridSpan w:val="9"/>
          </w:tcPr>
          <w:p>
            <w:pPr>
              <w:ind w:left="220"/>
              <w:spacing w:after="0"/>
              <w:rPr>
                <w:sz w:val="20"/>
                <w:szCs w:val="20"/>
                <w:color w:val="auto"/>
              </w:rPr>
            </w:pPr>
            <w:r>
              <w:rPr>
                <w:rFonts w:ascii="Arial" w:cs="Arial" w:eastAsia="Arial" w:hAnsi="Arial"/>
                <w:sz w:val="16"/>
                <w:szCs w:val="16"/>
                <w:color w:val="auto"/>
              </w:rPr>
              <w:t>See Exhibit Index which follows.</w:t>
            </w:r>
          </w:p>
        </w:tc>
        <w:tc>
          <w:tcPr>
            <w:tcW w:w="6080" w:type="dxa"/>
            <w:vAlign w:val="bottom"/>
          </w:tcPr>
          <w:p>
            <w:pPr>
              <w:spacing w:after="0"/>
              <w:rPr>
                <w:sz w:val="18"/>
                <w:szCs w:val="18"/>
                <w:color w:val="auto"/>
              </w:rPr>
            </w:pPr>
          </w:p>
        </w:tc>
      </w:tr>
      <w:tr>
        <w:trPr>
          <w:trHeight w:val="392"/>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tcPr>
          <w:p>
            <w:pPr>
              <w:jc w:val="right"/>
              <w:ind w:right="5558"/>
              <w:spacing w:after="0"/>
              <w:rPr>
                <w:sz w:val="20"/>
                <w:szCs w:val="20"/>
                <w:color w:val="auto"/>
              </w:rPr>
            </w:pPr>
            <w:r>
              <w:rPr>
                <w:rFonts w:ascii="Arial" w:cs="Arial" w:eastAsia="Arial" w:hAnsi="Arial"/>
                <w:sz w:val="16"/>
                <w:szCs w:val="16"/>
                <w:color w:val="auto"/>
              </w:rPr>
              <w:t>47</w:t>
            </w:r>
          </w:p>
        </w:tc>
      </w:tr>
      <w:tr>
        <w:trPr>
          <w:trHeight w:val="103"/>
        </w:trPr>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48" w:name="page49"/>
    <w:bookmarkEnd w:id="4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80" w:type="dxa"/>
            <w:vAlign w:val="bottom"/>
            <w:gridSpan w:val="29"/>
          </w:tcPr>
          <w:p>
            <w:pPr>
              <w:jc w:val="center"/>
              <w:ind w:right="118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380"/>
        </w:trPr>
        <w:tc>
          <w:tcPr>
            <w:tcW w:w="580" w:type="dxa"/>
            <w:vAlign w:val="bottom"/>
          </w:tcPr>
          <w:p>
            <w:pPr>
              <w:jc w:val="center"/>
              <w:spacing w:after="0"/>
              <w:rPr>
                <w:sz w:val="20"/>
                <w:szCs w:val="20"/>
                <w:color w:val="auto"/>
              </w:rPr>
            </w:pPr>
            <w:r>
              <w:rPr>
                <w:rFonts w:ascii="Arial" w:cs="Arial" w:eastAsia="Arial" w:hAnsi="Arial"/>
                <w:sz w:val="16"/>
                <w:szCs w:val="16"/>
                <w:color w:val="auto"/>
                <w:w w:val="99"/>
              </w:rPr>
              <w:t>Exhibit</w:t>
            </w:r>
          </w:p>
        </w:tc>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jc w:val="center"/>
              <w:spacing w:after="0"/>
              <w:rPr>
                <w:sz w:val="20"/>
                <w:szCs w:val="20"/>
                <w:color w:val="auto"/>
              </w:rPr>
            </w:pPr>
            <w:r>
              <w:rPr>
                <w:rFonts w:ascii="Arial" w:cs="Arial" w:eastAsia="Arial" w:hAnsi="Arial"/>
                <w:sz w:val="16"/>
                <w:szCs w:val="16"/>
                <w:color w:val="auto"/>
                <w:w w:val="96"/>
              </w:rPr>
              <w:t>No.</w:t>
            </w:r>
          </w:p>
        </w:tc>
        <w:tc>
          <w:tcPr>
            <w:tcW w:w="5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24"/>
          </w:tcPr>
          <w:p>
            <w:pPr>
              <w:jc w:val="center"/>
              <w:ind w:right="4720"/>
              <w:spacing w:after="0"/>
              <w:rPr>
                <w:sz w:val="20"/>
                <w:szCs w:val="20"/>
                <w:color w:val="auto"/>
              </w:rPr>
            </w:pPr>
            <w:r>
              <w:rPr>
                <w:rFonts w:ascii="Arial" w:cs="Arial" w:eastAsia="Arial" w:hAnsi="Arial"/>
                <w:sz w:val="16"/>
                <w:szCs w:val="16"/>
                <w:color w:val="auto"/>
                <w:w w:val="94"/>
              </w:rPr>
              <w:t>Description</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Restated Certificate of Incorporation</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428"/>
        </w:trPr>
        <w:tc>
          <w:tcPr>
            <w:tcW w:w="5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Amended and Restated By-Laws</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219"/>
        </w:trPr>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3.3</w:t>
            </w:r>
          </w:p>
        </w:tc>
        <w:tc>
          <w:tcPr>
            <w:tcW w:w="580" w:type="dxa"/>
            <w:vAlign w:val="bottom"/>
          </w:tcPr>
          <w:p>
            <w:pPr>
              <w:spacing w:after="0"/>
              <w:rPr>
                <w:sz w:val="19"/>
                <w:szCs w:val="19"/>
                <w:color w:val="auto"/>
              </w:rPr>
            </w:pPr>
          </w:p>
        </w:tc>
        <w:tc>
          <w:tcPr>
            <w:tcW w:w="5380" w:type="dxa"/>
            <w:vAlign w:val="bottom"/>
            <w:gridSpan w:val="11"/>
            <w:vMerge w:val="restart"/>
          </w:tcPr>
          <w:p>
            <w:pPr>
              <w:spacing w:after="0"/>
              <w:rPr>
                <w:rFonts w:ascii="Arial" w:cs="Arial" w:eastAsia="Arial" w:hAnsi="Arial"/>
                <w:sz w:val="16"/>
                <w:szCs w:val="16"/>
                <w:color w:val="0000EE"/>
                <w:w w:val="92"/>
              </w:rPr>
            </w:pPr>
            <w:hyperlink r:id="rId73">
              <w:r>
                <w:rPr>
                  <w:rFonts w:ascii="Arial" w:cs="Arial" w:eastAsia="Arial" w:hAnsi="Arial"/>
                  <w:sz w:val="16"/>
                  <w:szCs w:val="16"/>
                  <w:color w:val="0000EE"/>
                  <w:w w:val="92"/>
                </w:rPr>
                <w:t>Certificate of Designation of the Special Series D Preferred Stock of the Company</w:t>
              </w:r>
            </w:hyperlink>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1"/>
              </w:rPr>
              <w:t>(2)</w:t>
            </w:r>
          </w:p>
        </w:tc>
        <w:tc>
          <w:tcPr>
            <w:tcW w:w="1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4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12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9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380" w:type="dxa"/>
            <w:vAlign w:val="bottom"/>
            <w:tcBorders>
              <w:bottom w:val="single" w:sz="8" w:color="0000EE"/>
            </w:tcBorders>
            <w:gridSpan w:val="11"/>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7"/>
        </w:trPr>
        <w:tc>
          <w:tcPr>
            <w:tcW w:w="580" w:type="dxa"/>
            <w:vAlign w:val="bottom"/>
          </w:tcPr>
          <w:p>
            <w:pPr>
              <w:ind w:left="120"/>
              <w:spacing w:after="0"/>
              <w:rPr>
                <w:sz w:val="20"/>
                <w:szCs w:val="20"/>
                <w:color w:val="auto"/>
              </w:rPr>
            </w:pPr>
            <w:r>
              <w:rPr>
                <w:rFonts w:ascii="Arial" w:cs="Arial" w:eastAsia="Arial" w:hAnsi="Arial"/>
                <w:sz w:val="16"/>
                <w:szCs w:val="16"/>
                <w:color w:val="auto"/>
              </w:rPr>
              <w:t>10.1</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Management Agreement between the Company and Corporate Management Advisors, Inc.</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28"/>
        </w:trPr>
        <w:tc>
          <w:tcPr>
            <w:tcW w:w="580" w:type="dxa"/>
            <w:vAlign w:val="bottom"/>
          </w:tcPr>
          <w:p>
            <w:pPr>
              <w:ind w:left="120"/>
              <w:spacing w:after="0"/>
              <w:rPr>
                <w:sz w:val="20"/>
                <w:szCs w:val="20"/>
                <w:color w:val="auto"/>
              </w:rPr>
            </w:pPr>
            <w:r>
              <w:rPr>
                <w:rFonts w:ascii="Arial" w:cs="Arial" w:eastAsia="Arial" w:hAnsi="Arial"/>
                <w:sz w:val="16"/>
                <w:szCs w:val="16"/>
                <w:color w:val="auto"/>
              </w:rPr>
              <w:t>10.2</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National Beverage Corp. Investment and Profit Sharing Plan</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28"/>
        </w:trPr>
        <w:tc>
          <w:tcPr>
            <w:tcW w:w="580" w:type="dxa"/>
            <w:vAlign w:val="bottom"/>
          </w:tcPr>
          <w:p>
            <w:pPr>
              <w:ind w:left="120"/>
              <w:spacing w:after="0"/>
              <w:rPr>
                <w:sz w:val="20"/>
                <w:szCs w:val="20"/>
                <w:color w:val="auto"/>
              </w:rPr>
            </w:pPr>
            <w:r>
              <w:rPr>
                <w:rFonts w:ascii="Arial" w:cs="Arial" w:eastAsia="Arial" w:hAnsi="Arial"/>
                <w:sz w:val="16"/>
                <w:szCs w:val="16"/>
                <w:color w:val="auto"/>
              </w:rPr>
              <w:t>10.3</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National Beverage Corp. 1991 Omnibus Incentive Plan</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28"/>
        </w:trPr>
        <w:tc>
          <w:tcPr>
            <w:tcW w:w="580" w:type="dxa"/>
            <w:vAlign w:val="bottom"/>
          </w:tcPr>
          <w:p>
            <w:pPr>
              <w:ind w:left="120"/>
              <w:spacing w:after="0"/>
              <w:rPr>
                <w:sz w:val="20"/>
                <w:szCs w:val="20"/>
                <w:color w:val="auto"/>
              </w:rPr>
            </w:pPr>
            <w:r>
              <w:rPr>
                <w:rFonts w:ascii="Arial" w:cs="Arial" w:eastAsia="Arial" w:hAnsi="Arial"/>
                <w:sz w:val="16"/>
                <w:szCs w:val="16"/>
                <w:color w:val="auto"/>
              </w:rPr>
              <w:t>10.4</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National Beverage Corp. 1991 Stock Purchase Plan</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28"/>
        </w:trPr>
        <w:tc>
          <w:tcPr>
            <w:tcW w:w="580" w:type="dxa"/>
            <w:vAlign w:val="bottom"/>
          </w:tcPr>
          <w:p>
            <w:pPr>
              <w:ind w:left="120"/>
              <w:spacing w:after="0"/>
              <w:rPr>
                <w:sz w:val="20"/>
                <w:szCs w:val="20"/>
                <w:color w:val="auto"/>
              </w:rPr>
            </w:pPr>
            <w:r>
              <w:rPr>
                <w:rFonts w:ascii="Arial" w:cs="Arial" w:eastAsia="Arial" w:hAnsi="Arial"/>
                <w:sz w:val="16"/>
                <w:szCs w:val="16"/>
                <w:color w:val="auto"/>
              </w:rPr>
              <w:t>10.5</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Amendment No. 1 to the National Beverage Corp. Omnibus Incentive Plan</w:t>
            </w:r>
            <w:r>
              <w:rPr>
                <w:rFonts w:ascii="Arial" w:cs="Arial" w:eastAsia="Arial" w:hAnsi="Arial"/>
                <w:sz w:val="27"/>
                <w:szCs w:val="27"/>
                <w:color w:val="auto"/>
                <w:vertAlign w:val="superscript"/>
              </w:rPr>
              <w:t>(4)</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28"/>
        </w:trPr>
        <w:tc>
          <w:tcPr>
            <w:tcW w:w="580" w:type="dxa"/>
            <w:vAlign w:val="bottom"/>
          </w:tcPr>
          <w:p>
            <w:pPr>
              <w:ind w:left="120"/>
              <w:spacing w:after="0"/>
              <w:rPr>
                <w:sz w:val="20"/>
                <w:szCs w:val="20"/>
                <w:color w:val="auto"/>
              </w:rPr>
            </w:pPr>
            <w:r>
              <w:rPr>
                <w:rFonts w:ascii="Arial" w:cs="Arial" w:eastAsia="Arial" w:hAnsi="Arial"/>
                <w:sz w:val="16"/>
                <w:szCs w:val="16"/>
                <w:color w:val="auto"/>
              </w:rPr>
              <w:t>10.6</w:t>
            </w:r>
          </w:p>
        </w:tc>
        <w:tc>
          <w:tcPr>
            <w:tcW w:w="58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auto"/>
              </w:rPr>
              <w:t>National Beverage Corp. Special Stock Option Plan</w:t>
            </w:r>
            <w:r>
              <w:rPr>
                <w:rFonts w:ascii="Arial" w:cs="Arial" w:eastAsia="Arial" w:hAnsi="Arial"/>
                <w:sz w:val="27"/>
                <w:szCs w:val="27"/>
                <w:color w:val="auto"/>
                <w:vertAlign w:val="superscript"/>
              </w:rPr>
              <w:t>(5)</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19"/>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10.7</w:t>
            </w:r>
          </w:p>
        </w:tc>
        <w:tc>
          <w:tcPr>
            <w:tcW w:w="580" w:type="dxa"/>
            <w:vAlign w:val="bottom"/>
          </w:tcPr>
          <w:p>
            <w:pPr>
              <w:spacing w:after="0"/>
              <w:rPr>
                <w:sz w:val="19"/>
                <w:szCs w:val="19"/>
                <w:color w:val="auto"/>
              </w:rPr>
            </w:pPr>
          </w:p>
        </w:tc>
        <w:tc>
          <w:tcPr>
            <w:tcW w:w="4900" w:type="dxa"/>
            <w:vAlign w:val="bottom"/>
            <w:gridSpan w:val="8"/>
            <w:vMerge w:val="restart"/>
          </w:tcPr>
          <w:p>
            <w:pPr>
              <w:spacing w:after="0"/>
              <w:rPr>
                <w:rFonts w:ascii="Arial" w:cs="Arial" w:eastAsia="Arial" w:hAnsi="Arial"/>
                <w:sz w:val="16"/>
                <w:szCs w:val="16"/>
                <w:color w:val="0000EE"/>
                <w:w w:val="92"/>
              </w:rPr>
            </w:pPr>
            <w:hyperlink r:id="rId74">
              <w:r>
                <w:rPr>
                  <w:rFonts w:ascii="Arial" w:cs="Arial" w:eastAsia="Arial" w:hAnsi="Arial"/>
                  <w:sz w:val="16"/>
                  <w:szCs w:val="16"/>
                  <w:color w:val="0000EE"/>
                  <w:w w:val="92"/>
                </w:rPr>
                <w:t>Amendment No. 2 to the National Beverage Corp. Omnibus Incentive Plan</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2"/>
                <w:szCs w:val="12"/>
                <w:color w:val="0000EE"/>
                <w:w w:val="81"/>
              </w:rPr>
              <w:t>(6)</w:t>
            </w:r>
          </w:p>
        </w:tc>
        <w:tc>
          <w:tcPr>
            <w:tcW w:w="440" w:type="dxa"/>
            <w:vAlign w:val="bottom"/>
            <w:gridSpan w:val="4"/>
            <w:vMerge w:val="restart"/>
          </w:tcPr>
          <w:p>
            <w:pPr>
              <w:jc w:val="center"/>
              <w:ind w:right="340"/>
              <w:spacing w:after="0"/>
              <w:rPr>
                <w:rFonts w:ascii="Arial" w:cs="Arial" w:eastAsia="Arial" w:hAnsi="Arial"/>
                <w:sz w:val="16"/>
                <w:szCs w:val="16"/>
                <w:color w:val="0000EE"/>
                <w:w w:val="95"/>
              </w:rPr>
            </w:pPr>
            <w:hyperlink r:id="rId74">
              <w:r>
                <w:rPr>
                  <w:rFonts w:ascii="Arial" w:cs="Arial" w:eastAsia="Arial" w:hAnsi="Arial"/>
                  <w:sz w:val="16"/>
                  <w:szCs w:val="16"/>
                  <w:color w:val="0000EE"/>
                  <w:w w:val="95"/>
                </w:rPr>
                <w:t>*</w:t>
              </w:r>
            </w:hyperlink>
          </w:p>
        </w:tc>
        <w:tc>
          <w:tcPr>
            <w:tcW w:w="14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4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12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9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900" w:type="dxa"/>
            <w:vAlign w:val="bottom"/>
            <w:gridSpan w:val="8"/>
            <w:vMerge w:val="continue"/>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10.8</w:t>
            </w:r>
          </w:p>
        </w:tc>
        <w:tc>
          <w:tcPr>
            <w:tcW w:w="580" w:type="dxa"/>
            <w:vAlign w:val="bottom"/>
          </w:tcPr>
          <w:p>
            <w:pPr>
              <w:spacing w:after="0"/>
              <w:rPr>
                <w:sz w:val="24"/>
                <w:szCs w:val="24"/>
                <w:color w:val="auto"/>
              </w:rPr>
            </w:pPr>
          </w:p>
        </w:tc>
        <w:tc>
          <w:tcPr>
            <w:tcW w:w="4520" w:type="dxa"/>
            <w:vAlign w:val="bottom"/>
            <w:tcBorders>
              <w:top w:val="single" w:sz="8" w:color="0000EE"/>
              <w:bottom w:val="single" w:sz="8" w:color="0000EE"/>
            </w:tcBorders>
            <w:gridSpan w:val="2"/>
            <w:vMerge w:val="restart"/>
          </w:tcPr>
          <w:p>
            <w:pPr>
              <w:spacing w:after="0"/>
              <w:rPr>
                <w:rFonts w:ascii="Arial" w:cs="Arial" w:eastAsia="Arial" w:hAnsi="Arial"/>
                <w:sz w:val="16"/>
                <w:szCs w:val="16"/>
                <w:color w:val="0000EE"/>
                <w:w w:val="92"/>
              </w:rPr>
            </w:pPr>
            <w:hyperlink r:id="rId74">
              <w:r>
                <w:rPr>
                  <w:rFonts w:ascii="Arial" w:cs="Arial" w:eastAsia="Arial" w:hAnsi="Arial"/>
                  <w:sz w:val="16"/>
                  <w:szCs w:val="16"/>
                  <w:color w:val="0000EE"/>
                  <w:w w:val="92"/>
                </w:rPr>
                <w:t>National Beverage Corp. Key Employee Equity Partnership Program</w:t>
              </w:r>
            </w:hyperlink>
          </w:p>
        </w:tc>
        <w:tc>
          <w:tcPr>
            <w:tcW w:w="140" w:type="dxa"/>
            <w:vAlign w:val="bottom"/>
            <w:tcBorders>
              <w:top w:val="single" w:sz="8" w:color="0000EE"/>
              <w:bottom w:val="single" w:sz="8" w:color="0000EE"/>
            </w:tcBorders>
            <w:gridSpan w:val="2"/>
          </w:tcPr>
          <w:p>
            <w:pPr>
              <w:jc w:val="center"/>
              <w:spacing w:after="0"/>
              <w:rPr>
                <w:sz w:val="20"/>
                <w:szCs w:val="20"/>
                <w:color w:val="auto"/>
              </w:rPr>
            </w:pPr>
            <w:r>
              <w:rPr>
                <w:rFonts w:ascii="Arial" w:cs="Arial" w:eastAsia="Arial" w:hAnsi="Arial"/>
                <w:sz w:val="14"/>
                <w:szCs w:val="14"/>
                <w:color w:val="0000EE"/>
                <w:w w:val="81"/>
              </w:rPr>
              <w:t>(6)</w:t>
            </w:r>
          </w:p>
        </w:tc>
        <w:tc>
          <w:tcPr>
            <w:tcW w:w="20" w:type="dxa"/>
            <w:vAlign w:val="bottom"/>
            <w:tcBorders>
              <w:top w:val="single" w:sz="8" w:color="0000EE"/>
              <w:bottom w:val="single" w:sz="8" w:color="0000EE"/>
            </w:tcBorders>
          </w:tcPr>
          <w:p>
            <w:pPr>
              <w:spacing w:after="0"/>
              <w:rPr>
                <w:sz w:val="24"/>
                <w:szCs w:val="24"/>
                <w:color w:val="auto"/>
              </w:rPr>
            </w:pPr>
          </w:p>
        </w:tc>
        <w:tc>
          <w:tcPr>
            <w:tcW w:w="220" w:type="dxa"/>
            <w:vAlign w:val="bottom"/>
            <w:tcBorders>
              <w:top w:val="single" w:sz="8" w:color="0000EE"/>
              <w:bottom w:val="single" w:sz="8" w:color="0000EE"/>
            </w:tcBorders>
            <w:gridSpan w:val="3"/>
            <w:vMerge w:val="restart"/>
          </w:tcPr>
          <w:p>
            <w:pPr>
              <w:jc w:val="right"/>
              <w:ind w:right="140"/>
              <w:spacing w:after="0"/>
              <w:rPr>
                <w:rFonts w:ascii="Arial" w:cs="Arial" w:eastAsia="Arial" w:hAnsi="Arial"/>
                <w:sz w:val="16"/>
                <w:szCs w:val="16"/>
                <w:color w:val="0000EE"/>
                <w:w w:val="95"/>
              </w:rPr>
            </w:pPr>
            <w:hyperlink r:id="rId74">
              <w:r>
                <w:rPr>
                  <w:rFonts w:ascii="Arial" w:cs="Arial" w:eastAsia="Arial" w:hAnsi="Arial"/>
                  <w:sz w:val="16"/>
                  <w:szCs w:val="16"/>
                  <w:color w:val="0000EE"/>
                  <w:w w:val="95"/>
                </w:rPr>
                <w:t>*</w:t>
              </w:r>
            </w:hyperlink>
          </w:p>
        </w:tc>
        <w:tc>
          <w:tcPr>
            <w:tcW w:w="180" w:type="dxa"/>
            <w:vAlign w:val="bottom"/>
            <w:vMerge w:val="restart"/>
          </w:tcPr>
          <w:p>
            <w:pPr>
              <w:spacing w:after="0"/>
              <w:rPr>
                <w:sz w:val="24"/>
                <w:szCs w:val="24"/>
                <w:color w:val="auto"/>
              </w:rPr>
            </w:pPr>
          </w:p>
        </w:tc>
        <w:tc>
          <w:tcPr>
            <w:tcW w:w="80" w:type="dxa"/>
            <w:vAlign w:val="bottom"/>
            <w:tcBorders>
              <w:top w:val="single" w:sz="8" w:color="0000EE"/>
              <w:bottom w:val="single" w:sz="8" w:color="0000EE"/>
            </w:tcBorders>
            <w:vMerge w:val="restart"/>
          </w:tcPr>
          <w:p>
            <w:pPr>
              <w:spacing w:after="0"/>
              <w:rPr>
                <w:sz w:val="24"/>
                <w:szCs w:val="24"/>
                <w:color w:val="auto"/>
              </w:rPr>
            </w:pPr>
          </w:p>
        </w:tc>
        <w:tc>
          <w:tcPr>
            <w:tcW w:w="360" w:type="dxa"/>
            <w:vAlign w:val="bottom"/>
            <w:gridSpan w:val="3"/>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1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60" w:type="dxa"/>
            <w:vAlign w:val="bottom"/>
            <w:gridSpan w:val="3"/>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10.9</w:t>
            </w:r>
          </w:p>
        </w:tc>
        <w:tc>
          <w:tcPr>
            <w:tcW w:w="58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0000EE"/>
                <w:w w:val="81"/>
              </w:rPr>
              <w:t>(7)</w:t>
            </w: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600" w:type="dxa"/>
            <w:vAlign w:val="bottom"/>
            <w:gridSpan w:val="20"/>
            <w:vMerge w:val="restart"/>
          </w:tcPr>
          <w:p>
            <w:pPr>
              <w:spacing w:after="0"/>
              <w:rPr>
                <w:rFonts w:ascii="Arial" w:cs="Arial" w:eastAsia="Arial" w:hAnsi="Arial"/>
                <w:sz w:val="16"/>
                <w:szCs w:val="16"/>
                <w:color w:val="0000EE"/>
                <w:w w:val="90"/>
              </w:rPr>
            </w:pPr>
            <w:hyperlink r:id="rId75">
              <w:r>
                <w:rPr>
                  <w:rFonts w:ascii="Arial" w:cs="Arial" w:eastAsia="Arial" w:hAnsi="Arial"/>
                  <w:sz w:val="16"/>
                  <w:szCs w:val="16"/>
                  <w:color w:val="0000EE"/>
                  <w:w w:val="90"/>
                </w:rPr>
                <w:t>Second Amended and Restated Credit Agreement, dated June 30, 2008, between NewBevCo, Inc. and lender therein</w:t>
              </w:r>
            </w:hyperlink>
          </w:p>
        </w:tc>
        <w:tc>
          <w:tcPr>
            <w:tcW w:w="160" w:type="dxa"/>
            <w:vAlign w:val="bottom"/>
            <w:tcBorders>
              <w:bottom w:val="single" w:sz="8" w:color="0000EE"/>
            </w:tcBorders>
            <w:vMerge w:val="continue"/>
          </w:tcPr>
          <w:p>
            <w:pPr>
              <w:spacing w:after="0"/>
              <w:rPr>
                <w:sz w:val="24"/>
                <w:szCs w:val="24"/>
                <w:color w:val="auto"/>
              </w:rPr>
            </w:pPr>
          </w:p>
        </w:tc>
        <w:tc>
          <w:tcPr>
            <w:tcW w:w="12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600" w:type="dxa"/>
            <w:vAlign w:val="bottom"/>
            <w:tcBorders>
              <w:bottom w:val="single" w:sz="8" w:color="0000EE"/>
            </w:tcBorders>
            <w:gridSpan w:val="20"/>
            <w:vMerge w:val="continue"/>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10.10</w:t>
            </w:r>
          </w:p>
        </w:tc>
        <w:tc>
          <w:tcPr>
            <w:tcW w:w="580" w:type="dxa"/>
            <w:vAlign w:val="bottom"/>
          </w:tcPr>
          <w:p>
            <w:pPr>
              <w:spacing w:after="0"/>
              <w:rPr>
                <w:sz w:val="24"/>
                <w:szCs w:val="24"/>
                <w:color w:val="auto"/>
              </w:rPr>
            </w:pPr>
          </w:p>
        </w:tc>
        <w:tc>
          <w:tcPr>
            <w:tcW w:w="4400" w:type="dxa"/>
            <w:vAlign w:val="bottom"/>
            <w:vMerge w:val="restart"/>
          </w:tcPr>
          <w:p>
            <w:pPr>
              <w:spacing w:after="0"/>
              <w:rPr>
                <w:rFonts w:ascii="Arial" w:cs="Arial" w:eastAsia="Arial" w:hAnsi="Arial"/>
                <w:sz w:val="16"/>
                <w:szCs w:val="16"/>
                <w:color w:val="0000EE"/>
                <w:w w:val="92"/>
              </w:rPr>
            </w:pPr>
            <w:hyperlink r:id="rId76">
              <w:r>
                <w:rPr>
                  <w:rFonts w:ascii="Arial" w:cs="Arial" w:eastAsia="Arial" w:hAnsi="Arial"/>
                  <w:sz w:val="16"/>
                  <w:szCs w:val="16"/>
                  <w:color w:val="0000EE"/>
                  <w:w w:val="92"/>
                </w:rPr>
                <w:t>Amendment to National Beverage Corp. Special Stock Option Plan</w:t>
              </w:r>
            </w:hyperlink>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color w:val="0000EE"/>
                <w:w w:val="81"/>
              </w:rPr>
              <w:t>(8)</w:t>
            </w:r>
          </w:p>
        </w:tc>
        <w:tc>
          <w:tcPr>
            <w:tcW w:w="980" w:type="dxa"/>
            <w:vAlign w:val="bottom"/>
            <w:gridSpan w:val="10"/>
            <w:vMerge w:val="restart"/>
          </w:tcPr>
          <w:p>
            <w:pPr>
              <w:jc w:val="right"/>
              <w:ind w:right="860"/>
              <w:spacing w:after="0"/>
              <w:rPr>
                <w:rFonts w:ascii="Arial" w:cs="Arial" w:eastAsia="Arial" w:hAnsi="Arial"/>
                <w:sz w:val="16"/>
                <w:szCs w:val="16"/>
                <w:color w:val="0000EE"/>
              </w:rPr>
            </w:pPr>
            <w:hyperlink r:id="rId76">
              <w:r>
                <w:rPr>
                  <w:rFonts w:ascii="Arial" w:cs="Arial" w:eastAsia="Arial" w:hAnsi="Arial"/>
                  <w:sz w:val="16"/>
                  <w:szCs w:val="16"/>
                  <w:color w:val="0000EE"/>
                </w:rPr>
                <w:t>*</w:t>
              </w:r>
            </w:hyperlink>
          </w:p>
        </w:tc>
        <w:tc>
          <w:tcPr>
            <w:tcW w:w="140" w:type="dxa"/>
            <w:vAlign w:val="bottom"/>
            <w:gridSpan w:val="2"/>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1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90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40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980" w:type="dxa"/>
            <w:vAlign w:val="bottom"/>
            <w:gridSpan w:val="10"/>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10.11</w:t>
            </w:r>
          </w:p>
        </w:tc>
        <w:tc>
          <w:tcPr>
            <w:tcW w:w="58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0000EE"/>
                <w:w w:val="81"/>
              </w:rPr>
              <w:t>(8)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520" w:type="dxa"/>
            <w:vAlign w:val="bottom"/>
            <w:gridSpan w:val="13"/>
            <w:vMerge w:val="restart"/>
          </w:tcPr>
          <w:p>
            <w:pPr>
              <w:spacing w:after="0"/>
              <w:rPr>
                <w:rFonts w:ascii="Arial" w:cs="Arial" w:eastAsia="Arial" w:hAnsi="Arial"/>
                <w:sz w:val="16"/>
                <w:szCs w:val="16"/>
                <w:color w:val="0000EE"/>
                <w:w w:val="92"/>
              </w:rPr>
            </w:pPr>
            <w:hyperlink r:id="rId77">
              <w:r>
                <w:rPr>
                  <w:rFonts w:ascii="Arial" w:cs="Arial" w:eastAsia="Arial" w:hAnsi="Arial"/>
                  <w:sz w:val="16"/>
                  <w:szCs w:val="16"/>
                  <w:color w:val="0000EE"/>
                  <w:w w:val="92"/>
                </w:rPr>
                <w:t>Amendment to National Beverage Corp. Key Employee Equity Partnership Program</w:t>
              </w:r>
            </w:hyperlink>
          </w:p>
        </w:tc>
        <w:tc>
          <w:tcPr>
            <w:tcW w:w="140" w:type="dxa"/>
            <w:vAlign w:val="bottom"/>
            <w:tcBorders>
              <w:bottom w:val="single" w:sz="8" w:color="0000EE"/>
            </w:tcBorders>
            <w:gridSpan w:val="2"/>
            <w:vMerge w:val="continue"/>
          </w:tcPr>
          <w:p>
            <w:pPr>
              <w:spacing w:after="0"/>
              <w:rPr>
                <w:sz w:val="24"/>
                <w:szCs w:val="24"/>
                <w:color w:val="auto"/>
              </w:rPr>
            </w:pPr>
          </w:p>
        </w:tc>
        <w:tc>
          <w:tcPr>
            <w:tcW w:w="100" w:type="dxa"/>
            <w:vAlign w:val="bottom"/>
            <w:gridSpan w:val="2"/>
            <w:vMerge w:val="restart"/>
          </w:tcPr>
          <w:p>
            <w:pPr>
              <w:jc w:val="right"/>
              <w:ind w:right="20"/>
              <w:spacing w:after="0"/>
              <w:rPr>
                <w:rFonts w:ascii="Arial" w:cs="Arial" w:eastAsia="Arial" w:hAnsi="Arial"/>
                <w:sz w:val="16"/>
                <w:szCs w:val="16"/>
                <w:color w:val="0000EE"/>
                <w:w w:val="95"/>
              </w:rPr>
            </w:pPr>
            <w:hyperlink r:id="rId77">
              <w:r>
                <w:rPr>
                  <w:rFonts w:ascii="Arial" w:cs="Arial" w:eastAsia="Arial" w:hAnsi="Arial"/>
                  <w:sz w:val="16"/>
                  <w:szCs w:val="16"/>
                  <w:color w:val="0000EE"/>
                  <w:w w:val="95"/>
                </w:rPr>
                <w:t>*</w:t>
              </w:r>
            </w:hyperlink>
          </w:p>
        </w:tc>
        <w:tc>
          <w:tcPr>
            <w:tcW w:w="11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90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520" w:type="dxa"/>
            <w:vAlign w:val="bottom"/>
            <w:gridSpan w:val="13"/>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10.12</w:t>
            </w:r>
          </w:p>
        </w:tc>
        <w:tc>
          <w:tcPr>
            <w:tcW w:w="58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gridSpan w:val="1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0000EE"/>
                <w:w w:val="81"/>
              </w:rPr>
              <w:t>(9)</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5"/>
            <w:vMerge w:val="restart"/>
          </w:tcPr>
          <w:p>
            <w:pPr>
              <w:spacing w:after="0"/>
              <w:rPr>
                <w:rFonts w:ascii="Arial" w:cs="Arial" w:eastAsia="Arial" w:hAnsi="Arial"/>
                <w:sz w:val="16"/>
                <w:szCs w:val="16"/>
                <w:color w:val="0000EE"/>
                <w:w w:val="91"/>
              </w:rPr>
            </w:pPr>
            <w:hyperlink r:id="rId78">
              <w:r>
                <w:rPr>
                  <w:rFonts w:ascii="Arial" w:cs="Arial" w:eastAsia="Arial" w:hAnsi="Arial"/>
                  <w:sz w:val="16"/>
                  <w:szCs w:val="16"/>
                  <w:color w:val="0000EE"/>
                  <w:w w:val="91"/>
                </w:rPr>
                <w:t>First Amendment to Second Amended and Restated Credit Agreement, dated January 16, 2013, between NewBevCo, Inc. and lender therein</w:t>
              </w:r>
            </w:hyperlink>
          </w:p>
        </w:tc>
        <w:tc>
          <w:tcPr>
            <w:tcW w:w="160" w:type="dxa"/>
            <w:vAlign w:val="bottom"/>
            <w:tcBorders>
              <w:bottom w:val="single" w:sz="8" w:color="0000EE"/>
            </w:tcBorders>
            <w:gridSpan w:val="3"/>
            <w:vMerge w:val="continue"/>
          </w:tcPr>
          <w:p>
            <w:pPr>
              <w:spacing w:after="0"/>
              <w:rPr>
                <w:sz w:val="24"/>
                <w:szCs w:val="24"/>
                <w:color w:val="auto"/>
              </w:rPr>
            </w:pPr>
          </w:p>
        </w:tc>
        <w:tc>
          <w:tcPr>
            <w:tcW w:w="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9160" w:type="dxa"/>
            <w:vAlign w:val="bottom"/>
            <w:tcBorders>
              <w:bottom w:val="single" w:sz="8" w:color="0000EE"/>
            </w:tcBorders>
            <w:gridSpan w:val="25"/>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10.13</w:t>
            </w:r>
          </w:p>
        </w:tc>
        <w:tc>
          <w:tcPr>
            <w:tcW w:w="580" w:type="dxa"/>
            <w:vAlign w:val="bottom"/>
          </w:tcPr>
          <w:p>
            <w:pPr>
              <w:spacing w:after="0"/>
              <w:rPr>
                <w:sz w:val="24"/>
                <w:szCs w:val="24"/>
                <w:color w:val="auto"/>
              </w:rPr>
            </w:pPr>
          </w:p>
        </w:tc>
        <w:tc>
          <w:tcPr>
            <w:tcW w:w="5520" w:type="dxa"/>
            <w:vAlign w:val="bottom"/>
            <w:gridSpan w:val="13"/>
            <w:vMerge w:val="restart"/>
          </w:tcPr>
          <w:p>
            <w:pPr>
              <w:spacing w:after="0"/>
              <w:rPr>
                <w:rFonts w:ascii="Arial" w:cs="Arial" w:eastAsia="Arial" w:hAnsi="Arial"/>
                <w:sz w:val="16"/>
                <w:szCs w:val="16"/>
                <w:color w:val="0000EE"/>
                <w:w w:val="91"/>
              </w:rPr>
            </w:pPr>
            <w:hyperlink r:id="rId79">
              <w:r>
                <w:rPr>
                  <w:rFonts w:ascii="Arial" w:cs="Arial" w:eastAsia="Arial" w:hAnsi="Arial"/>
                  <w:sz w:val="16"/>
                  <w:szCs w:val="16"/>
                  <w:color w:val="0000EE"/>
                  <w:w w:val="91"/>
                </w:rPr>
                <w:t>Credit Agreement, dated June 18, 2015, between NewBevCo, Inc. and lender therein</w:t>
              </w:r>
            </w:hyperlink>
          </w:p>
        </w:tc>
        <w:tc>
          <w:tcPr>
            <w:tcW w:w="240" w:type="dxa"/>
            <w:vAlign w:val="bottom"/>
            <w:tcBorders>
              <w:bottom w:val="single" w:sz="8" w:color="0000EE"/>
            </w:tcBorders>
            <w:gridSpan w:val="4"/>
          </w:tcPr>
          <w:p>
            <w:pPr>
              <w:jc w:val="right"/>
              <w:spacing w:after="0"/>
              <w:rPr>
                <w:sz w:val="20"/>
                <w:szCs w:val="20"/>
                <w:color w:val="auto"/>
              </w:rPr>
            </w:pPr>
            <w:r>
              <w:rPr>
                <w:rFonts w:ascii="Arial" w:cs="Arial" w:eastAsia="Arial" w:hAnsi="Arial"/>
                <w:sz w:val="14"/>
                <w:szCs w:val="14"/>
                <w:color w:val="0000EE"/>
                <w:w w:val="88"/>
              </w:rPr>
              <w:t>(10)</w:t>
            </w:r>
          </w:p>
        </w:tc>
        <w:tc>
          <w:tcPr>
            <w:tcW w:w="11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90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520" w:type="dxa"/>
            <w:vAlign w:val="bottom"/>
            <w:tcBorders>
              <w:bottom w:val="single" w:sz="8" w:color="0000EE"/>
            </w:tcBorders>
            <w:gridSpan w:val="13"/>
            <w:vMerge w:val="continue"/>
          </w:tcPr>
          <w:p>
            <w:pPr>
              <w:spacing w:after="0"/>
              <w:rPr>
                <w:sz w:val="3"/>
                <w:szCs w:val="3"/>
                <w:color w:val="auto"/>
              </w:rPr>
            </w:pPr>
          </w:p>
        </w:tc>
        <w:tc>
          <w:tcPr>
            <w:tcW w:w="240" w:type="dxa"/>
            <w:vAlign w:val="bottom"/>
            <w:gridSpan w:val="4"/>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10.14</w:t>
            </w:r>
          </w:p>
        </w:tc>
        <w:tc>
          <w:tcPr>
            <w:tcW w:w="580" w:type="dxa"/>
            <w:vAlign w:val="bottom"/>
          </w:tcPr>
          <w:p>
            <w:pPr>
              <w:spacing w:after="0"/>
              <w:rPr>
                <w:sz w:val="24"/>
                <w:szCs w:val="24"/>
                <w:color w:val="auto"/>
              </w:rPr>
            </w:pPr>
          </w:p>
        </w:tc>
        <w:tc>
          <w:tcPr>
            <w:tcW w:w="9040" w:type="dxa"/>
            <w:vAlign w:val="bottom"/>
            <w:gridSpan w:val="23"/>
            <w:vMerge w:val="restart"/>
          </w:tcPr>
          <w:p>
            <w:pPr>
              <w:spacing w:after="0"/>
              <w:rPr>
                <w:rFonts w:ascii="Arial" w:cs="Arial" w:eastAsia="Arial" w:hAnsi="Arial"/>
                <w:sz w:val="16"/>
                <w:szCs w:val="16"/>
                <w:color w:val="0000EE"/>
                <w:w w:val="91"/>
              </w:rPr>
            </w:pPr>
            <w:hyperlink r:id="rId80">
              <w:r>
                <w:rPr>
                  <w:rFonts w:ascii="Arial" w:cs="Arial" w:eastAsia="Arial" w:hAnsi="Arial"/>
                  <w:sz w:val="16"/>
                  <w:szCs w:val="16"/>
                  <w:color w:val="0000EE"/>
                  <w:w w:val="91"/>
                </w:rPr>
                <w:t>Second Amendment to Second Amended and Restated Credit Agreement, dated July 7, 2015, between NewBevCo, Inc. and lender therein</w:t>
              </w:r>
            </w:hyperlink>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80"/>
              </w:rPr>
              <w:t>(10)</w:t>
            </w:r>
          </w:p>
        </w:tc>
        <w:tc>
          <w:tcPr>
            <w:tcW w:w="10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9040" w:type="dxa"/>
            <w:vAlign w:val="bottom"/>
            <w:tcBorders>
              <w:bottom w:val="single" w:sz="8" w:color="0000EE"/>
            </w:tcBorders>
            <w:gridSpan w:val="2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10.15</w:t>
            </w:r>
          </w:p>
        </w:tc>
        <w:tc>
          <w:tcPr>
            <w:tcW w:w="580" w:type="dxa"/>
            <w:vAlign w:val="bottom"/>
          </w:tcPr>
          <w:p>
            <w:pPr>
              <w:spacing w:after="0"/>
              <w:rPr>
                <w:sz w:val="24"/>
                <w:szCs w:val="24"/>
                <w:color w:val="auto"/>
              </w:rPr>
            </w:pPr>
          </w:p>
        </w:tc>
        <w:tc>
          <w:tcPr>
            <w:tcW w:w="9020" w:type="dxa"/>
            <w:vAlign w:val="bottom"/>
            <w:gridSpan w:val="22"/>
            <w:vMerge w:val="restart"/>
          </w:tcPr>
          <w:p>
            <w:pPr>
              <w:spacing w:after="0"/>
              <w:rPr>
                <w:rFonts w:ascii="Arial" w:cs="Arial" w:eastAsia="Arial" w:hAnsi="Arial"/>
                <w:sz w:val="16"/>
                <w:szCs w:val="16"/>
                <w:color w:val="0000EE"/>
                <w:w w:val="91"/>
              </w:rPr>
            </w:pPr>
            <w:hyperlink r:id="rId81">
              <w:r>
                <w:rPr>
                  <w:rFonts w:ascii="Arial" w:cs="Arial" w:eastAsia="Arial" w:hAnsi="Arial"/>
                  <w:sz w:val="16"/>
                  <w:szCs w:val="16"/>
                  <w:color w:val="0000EE"/>
                  <w:w w:val="91"/>
                </w:rPr>
                <w:t>Third Amendment to Second Amended and Restated Credit Agreement, dated June 29, 2017, between NewBevCo, Inc. and lender therein</w:t>
              </w:r>
            </w:hyperlink>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80"/>
              </w:rPr>
              <w:t>(11)</w:t>
            </w:r>
          </w:p>
        </w:tc>
        <w:tc>
          <w:tcPr>
            <w:tcW w:w="10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9020" w:type="dxa"/>
            <w:vAlign w:val="bottom"/>
            <w:tcBorders>
              <w:bottom w:val="single" w:sz="8" w:color="0000EE"/>
            </w:tcBorders>
            <w:gridSpan w:val="22"/>
            <w:vMerge w:val="continue"/>
          </w:tcPr>
          <w:p>
            <w:pPr>
              <w:spacing w:after="0"/>
              <w:rPr>
                <w:sz w:val="3"/>
                <w:szCs w:val="3"/>
                <w:color w:val="auto"/>
              </w:rPr>
            </w:pPr>
          </w:p>
        </w:tc>
        <w:tc>
          <w:tcPr>
            <w:tcW w:w="220" w:type="dxa"/>
            <w:vAlign w:val="bottom"/>
            <w:gridSpan w:val="4"/>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580" w:type="dxa"/>
            <w:vAlign w:val="bottom"/>
            <w:vMerge w:val="restart"/>
          </w:tcPr>
          <w:p>
            <w:pPr>
              <w:ind w:left="120"/>
              <w:spacing w:after="0"/>
              <w:rPr>
                <w:sz w:val="20"/>
                <w:szCs w:val="20"/>
                <w:color w:val="auto"/>
              </w:rPr>
            </w:pPr>
            <w:r>
              <w:rPr>
                <w:rFonts w:ascii="Arial" w:cs="Arial" w:eastAsia="Arial" w:hAnsi="Arial"/>
                <w:sz w:val="16"/>
                <w:szCs w:val="16"/>
                <w:color w:val="auto"/>
              </w:rPr>
              <w:t>10.16</w:t>
            </w:r>
          </w:p>
        </w:tc>
        <w:tc>
          <w:tcPr>
            <w:tcW w:w="580" w:type="dxa"/>
            <w:vAlign w:val="bottom"/>
          </w:tcPr>
          <w:p>
            <w:pPr>
              <w:spacing w:after="0"/>
              <w:rPr>
                <w:sz w:val="24"/>
                <w:szCs w:val="24"/>
                <w:color w:val="auto"/>
              </w:rPr>
            </w:pPr>
          </w:p>
        </w:tc>
        <w:tc>
          <w:tcPr>
            <w:tcW w:w="6900" w:type="dxa"/>
            <w:vAlign w:val="bottom"/>
            <w:gridSpan w:val="18"/>
            <w:vMerge w:val="restart"/>
          </w:tcPr>
          <w:p>
            <w:pPr>
              <w:spacing w:after="0"/>
              <w:rPr>
                <w:rFonts w:ascii="Arial" w:cs="Arial" w:eastAsia="Arial" w:hAnsi="Arial"/>
                <w:sz w:val="16"/>
                <w:szCs w:val="16"/>
                <w:color w:val="0000EE"/>
                <w:w w:val="91"/>
              </w:rPr>
            </w:pPr>
            <w:hyperlink r:id="rId82">
              <w:r>
                <w:rPr>
                  <w:rFonts w:ascii="Arial" w:cs="Arial" w:eastAsia="Arial" w:hAnsi="Arial"/>
                  <w:sz w:val="16"/>
                  <w:szCs w:val="16"/>
                  <w:color w:val="0000EE"/>
                  <w:w w:val="91"/>
                </w:rPr>
                <w:t>Amended and Restated Credit Agreement dated October 4, 2017 between NewBevCo. and lender therein</w:t>
              </w:r>
            </w:hyperlink>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0"/>
              </w:rPr>
              <w:t>(12)</w:t>
            </w:r>
          </w:p>
        </w:tc>
        <w:tc>
          <w:tcPr>
            <w:tcW w:w="316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900" w:type="dxa"/>
            <w:vAlign w:val="bottom"/>
            <w:gridSpan w:val="18"/>
            <w:vMerge w:val="continue"/>
          </w:tcPr>
          <w:p>
            <w:pPr>
              <w:spacing w:after="0"/>
              <w:rPr>
                <w:sz w:val="3"/>
                <w:szCs w:val="3"/>
                <w:color w:val="auto"/>
              </w:rPr>
            </w:pPr>
          </w:p>
        </w:tc>
        <w:tc>
          <w:tcPr>
            <w:tcW w:w="220" w:type="dxa"/>
            <w:vAlign w:val="bottom"/>
          </w:tcPr>
          <w:p>
            <w:pPr>
              <w:spacing w:after="0"/>
              <w:rPr>
                <w:sz w:val="3"/>
                <w:szCs w:val="3"/>
                <w:color w:val="auto"/>
              </w:rPr>
            </w:pPr>
          </w:p>
        </w:tc>
        <w:tc>
          <w:tcPr>
            <w:tcW w:w="316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Borders>
              <w:top w:val="single" w:sz="8" w:color="0000EE"/>
            </w:tcBorders>
            <w:gridSpan w:val="4"/>
          </w:tcPr>
          <w:p>
            <w:pPr>
              <w:jc w:val="center"/>
              <w:ind w:left="4378"/>
              <w:spacing w:after="0"/>
              <w:rPr>
                <w:sz w:val="20"/>
                <w:szCs w:val="20"/>
                <w:color w:val="auto"/>
              </w:rPr>
            </w:pPr>
            <w:r>
              <w:rPr>
                <w:rFonts w:ascii="Arial" w:cs="Arial" w:eastAsia="Arial" w:hAnsi="Arial"/>
                <w:sz w:val="16"/>
                <w:szCs w:val="16"/>
                <w:color w:val="auto"/>
                <w:w w:val="89"/>
              </w:rPr>
              <w:t>48</w:t>
            </w: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6603365</wp:posOffset>
            </wp:positionH>
            <wp:positionV relativeFrom="paragraph">
              <wp:posOffset>-636905</wp:posOffset>
            </wp:positionV>
            <wp:extent cx="260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6035" cy="7620"/>
                    </a:xfrm>
                    <a:prstGeom prst="rect">
                      <a:avLst/>
                    </a:prstGeom>
                    <a:noFill/>
                  </pic:spPr>
                </pic:pic>
              </a:graphicData>
            </a:graphic>
          </wp:anchor>
        </w:drawing>
        <w:drawing>
          <wp:anchor simplePos="0" relativeHeight="251657728" behindDoc="1" locked="0" layoutInCell="0" allowOverlap="1">
            <wp:simplePos x="0" y="0"/>
            <wp:positionH relativeFrom="column">
              <wp:posOffset>5257165</wp:posOffset>
            </wp:positionH>
            <wp:positionV relativeFrom="paragraph">
              <wp:posOffset>-364490</wp:posOffset>
            </wp:positionV>
            <wp:extent cx="260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9" w:name="page50"/>
    <w:bookmarkEnd w:id="49"/>
    <w:p>
      <w:pPr>
        <w:ind w:left="2"/>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80" w:type="dxa"/>
            <w:vAlign w:val="bottom"/>
          </w:tcPr>
          <w:p>
            <w:pPr>
              <w:jc w:val="center"/>
              <w:spacing w:after="0"/>
              <w:rPr>
                <w:sz w:val="20"/>
                <w:szCs w:val="20"/>
                <w:color w:val="auto"/>
              </w:rPr>
            </w:pPr>
            <w:r>
              <w:rPr>
                <w:rFonts w:ascii="Arial" w:cs="Arial" w:eastAsia="Arial" w:hAnsi="Arial"/>
                <w:sz w:val="16"/>
                <w:szCs w:val="16"/>
                <w:color w:val="auto"/>
                <w:w w:val="99"/>
              </w:rPr>
              <w:t>Exhibit</w:t>
            </w:r>
          </w:p>
        </w:tc>
        <w:tc>
          <w:tcPr>
            <w:tcW w:w="5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80" w:type="dxa"/>
            <w:vAlign w:val="bottom"/>
          </w:tcPr>
          <w:p>
            <w:pPr>
              <w:jc w:val="center"/>
              <w:spacing w:after="0" w:line="171" w:lineRule="exact"/>
              <w:rPr>
                <w:sz w:val="20"/>
                <w:szCs w:val="20"/>
                <w:color w:val="auto"/>
              </w:rPr>
            </w:pPr>
            <w:r>
              <w:rPr>
                <w:rFonts w:ascii="Arial" w:cs="Arial" w:eastAsia="Arial" w:hAnsi="Arial"/>
                <w:sz w:val="16"/>
                <w:szCs w:val="16"/>
                <w:color w:val="auto"/>
                <w:w w:val="96"/>
              </w:rPr>
              <w:t>No.</w:t>
            </w:r>
          </w:p>
        </w:tc>
        <w:tc>
          <w:tcPr>
            <w:tcW w:w="560" w:type="dxa"/>
            <w:vAlign w:val="bottom"/>
          </w:tcPr>
          <w:p>
            <w:pPr>
              <w:spacing w:after="0"/>
              <w:rPr>
                <w:sz w:val="14"/>
                <w:szCs w:val="14"/>
                <w:color w:val="auto"/>
              </w:rPr>
            </w:pPr>
          </w:p>
        </w:tc>
        <w:tc>
          <w:tcPr>
            <w:tcW w:w="6660" w:type="dxa"/>
            <w:vAlign w:val="bottom"/>
            <w:gridSpan w:val="5"/>
          </w:tcPr>
          <w:p>
            <w:pPr>
              <w:ind w:left="4760"/>
              <w:spacing w:after="0" w:line="171" w:lineRule="exact"/>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10.17</w:t>
            </w:r>
          </w:p>
        </w:tc>
        <w:tc>
          <w:tcPr>
            <w:tcW w:w="560" w:type="dxa"/>
            <w:vAlign w:val="bottom"/>
          </w:tcPr>
          <w:p>
            <w:pPr>
              <w:spacing w:after="0"/>
              <w:rPr>
                <w:sz w:val="24"/>
                <w:szCs w:val="24"/>
                <w:color w:val="auto"/>
              </w:rPr>
            </w:pPr>
          </w:p>
        </w:tc>
        <w:tc>
          <w:tcPr>
            <w:tcW w:w="6400" w:type="dxa"/>
            <w:vAlign w:val="bottom"/>
            <w:gridSpan w:val="3"/>
            <w:vMerge w:val="restart"/>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Credit Facility Renewal Agreement, dated April 26, 2018 between NewBevCo and lender therein</w:t>
              </w:r>
            </w:hyperlink>
          </w:p>
        </w:tc>
        <w:tc>
          <w:tcPr>
            <w:tcW w:w="24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8"/>
              </w:rPr>
              <w:t>(13)</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400" w:type="dxa"/>
            <w:vAlign w:val="bottom"/>
            <w:tcBorders>
              <w:bottom w:val="single" w:sz="8" w:color="0000EE"/>
            </w:tcBorders>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142" w:hanging="1025"/>
        <w:spacing w:after="0"/>
        <w:tabs>
          <w:tab w:leader="none" w:pos="1142" w:val="left"/>
        </w:tabs>
        <w:numPr>
          <w:ilvl w:val="0"/>
          <w:numId w:val="16"/>
        </w:numPr>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Subsidiaries of Registrant</w:t>
        </w:r>
      </w:hyperlink>
      <w:r>
        <w:rPr>
          <w:rFonts w:ascii="Arial" w:cs="Arial" w:eastAsia="Arial" w:hAnsi="Arial"/>
          <w:sz w:val="27"/>
          <w:szCs w:val="27"/>
          <w:u w:val="single" w:color="auto"/>
          <w:color w:val="0000EE"/>
          <w:vertAlign w:val="superscript"/>
        </w:rPr>
        <w:t>(13)</w:t>
      </w:r>
    </w:p>
    <w:p>
      <w:pPr>
        <w:spacing w:after="0" w:line="49" w:lineRule="exact"/>
        <w:rPr>
          <w:sz w:val="20"/>
          <w:szCs w:val="20"/>
          <w:color w:val="auto"/>
        </w:rPr>
      </w:pPr>
    </w:p>
    <w:p>
      <w:pPr>
        <w:ind w:left="1142" w:hanging="1025"/>
        <w:spacing w:after="0"/>
        <w:tabs>
          <w:tab w:leader="none" w:pos="1142" w:val="left"/>
        </w:tabs>
        <w:numPr>
          <w:ilvl w:val="0"/>
          <w:numId w:val="17"/>
        </w:numPr>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Consent of Independent Registered Public Accounting Firm</w:t>
        </w:r>
      </w:hyperlink>
      <w:r>
        <w:rPr>
          <w:rFonts w:ascii="Arial" w:cs="Arial" w:eastAsia="Arial" w:hAnsi="Arial"/>
          <w:sz w:val="27"/>
          <w:szCs w:val="27"/>
          <w:u w:val="single" w:color="auto"/>
          <w:color w:val="0000EE"/>
          <w:vertAlign w:val="superscript"/>
        </w:rPr>
        <w:t>(13)</w:t>
      </w:r>
    </w:p>
    <w:p>
      <w:pPr>
        <w:spacing w:after="0" w:line="38" w:lineRule="exact"/>
        <w:rPr>
          <w:sz w:val="20"/>
          <w:szCs w:val="20"/>
          <w:color w:val="auto"/>
        </w:rPr>
      </w:pPr>
    </w:p>
    <w:tbl>
      <w:tblPr>
        <w:tblLayout w:type="fixed"/>
        <w:tblInd w:w="122" w:type="dxa"/>
        <w:tblCellMar>
          <w:top w:w="0" w:type="dxa"/>
          <w:left w:w="0" w:type="dxa"/>
          <w:bottom w:w="0" w:type="dxa"/>
          <w:right w:w="0" w:type="dxa"/>
        </w:tblCellMar>
      </w:tblPr>
      <w:tr>
        <w:trPr>
          <w:trHeight w:val="181"/>
        </w:trPr>
        <w:tc>
          <w:tcPr>
            <w:tcW w:w="1020" w:type="dxa"/>
            <w:vAlign w:val="bottom"/>
            <w:vMerge w:val="restart"/>
          </w:tcPr>
          <w:p>
            <w:pPr>
              <w:jc w:val="right"/>
              <w:ind w:right="658"/>
              <w:spacing w:after="0"/>
              <w:rPr>
                <w:sz w:val="20"/>
                <w:szCs w:val="20"/>
                <w:color w:val="auto"/>
              </w:rPr>
            </w:pPr>
            <w:r>
              <w:rPr>
                <w:rFonts w:ascii="Arial" w:cs="Arial" w:eastAsia="Arial" w:hAnsi="Arial"/>
                <w:sz w:val="16"/>
                <w:szCs w:val="16"/>
                <w:color w:val="auto"/>
                <w:w w:val="83"/>
              </w:rPr>
              <w:t>31.1</w:t>
            </w:r>
          </w:p>
        </w:tc>
        <w:tc>
          <w:tcPr>
            <w:tcW w:w="6520" w:type="dxa"/>
            <w:vAlign w:val="bottom"/>
            <w:vMerge w:val="restart"/>
          </w:tcPr>
          <w:p>
            <w:pPr>
              <w:spacing w:after="0"/>
              <w:rPr>
                <w:rFonts w:ascii="Arial" w:cs="Arial" w:eastAsia="Arial" w:hAnsi="Arial"/>
                <w:sz w:val="16"/>
                <w:szCs w:val="16"/>
                <w:color w:val="0000EE"/>
                <w:w w:val="93"/>
              </w:rPr>
            </w:pPr>
            <w:hyperlink w:anchor="page56">
              <w:r>
                <w:rPr>
                  <w:rFonts w:ascii="Arial" w:cs="Arial" w:eastAsia="Arial" w:hAnsi="Arial"/>
                  <w:sz w:val="16"/>
                  <w:szCs w:val="16"/>
                  <w:color w:val="0000EE"/>
                  <w:w w:val="93"/>
                </w:rPr>
                <w:t>Certification of Chief Executive Officer pursuant to Section 302 of the Sarbanes-Oxley Act of 2002</w:t>
              </w:r>
            </w:hyperlink>
          </w:p>
        </w:tc>
        <w:tc>
          <w:tcPr>
            <w:tcW w:w="220" w:type="dxa"/>
            <w:vAlign w:val="bottom"/>
            <w:tcBorders>
              <w:bottom w:val="single" w:sz="8" w:color="0000EE"/>
            </w:tcBorders>
            <w:gridSpan w:val="4"/>
          </w:tcPr>
          <w:p>
            <w:pPr>
              <w:jc w:val="right"/>
              <w:spacing w:after="0"/>
              <w:rPr>
                <w:rFonts w:ascii="Arial" w:cs="Arial" w:eastAsia="Arial" w:hAnsi="Arial"/>
                <w:sz w:val="14"/>
                <w:szCs w:val="14"/>
                <w:color w:val="0000EE"/>
                <w:w w:val="80"/>
              </w:rPr>
            </w:pPr>
            <w:hyperlink w:anchor="page56">
              <w:r>
                <w:rPr>
                  <w:rFonts w:ascii="Arial" w:cs="Arial" w:eastAsia="Arial" w:hAnsi="Arial"/>
                  <w:sz w:val="14"/>
                  <w:szCs w:val="14"/>
                  <w:color w:val="0000EE"/>
                  <w:w w:val="80"/>
                </w:rPr>
                <w:t>(13)</w:t>
              </w:r>
            </w:hyperlink>
          </w:p>
        </w:tc>
        <w:tc>
          <w:tcPr>
            <w:tcW w:w="1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20" w:type="dxa"/>
            <w:vAlign w:val="bottom"/>
            <w:vMerge w:val="continue"/>
          </w:tcPr>
          <w:p>
            <w:pPr>
              <w:spacing w:after="0"/>
              <w:rPr>
                <w:sz w:val="3"/>
                <w:szCs w:val="3"/>
                <w:color w:val="auto"/>
              </w:rPr>
            </w:pPr>
          </w:p>
        </w:tc>
        <w:tc>
          <w:tcPr>
            <w:tcW w:w="652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1020" w:type="dxa"/>
            <w:vAlign w:val="bottom"/>
            <w:vMerge w:val="restart"/>
          </w:tcPr>
          <w:p>
            <w:pPr>
              <w:jc w:val="right"/>
              <w:ind w:right="658"/>
              <w:spacing w:after="0"/>
              <w:rPr>
                <w:sz w:val="20"/>
                <w:szCs w:val="20"/>
                <w:color w:val="auto"/>
              </w:rPr>
            </w:pPr>
            <w:r>
              <w:rPr>
                <w:rFonts w:ascii="Arial" w:cs="Arial" w:eastAsia="Arial" w:hAnsi="Arial"/>
                <w:sz w:val="16"/>
                <w:szCs w:val="16"/>
                <w:color w:val="auto"/>
                <w:w w:val="83"/>
              </w:rPr>
              <w:t>31.2</w:t>
            </w:r>
          </w:p>
        </w:tc>
        <w:tc>
          <w:tcPr>
            <w:tcW w:w="6700" w:type="dxa"/>
            <w:vAlign w:val="bottom"/>
            <w:gridSpan w:val="3"/>
            <w:vMerge w:val="restart"/>
          </w:tcPr>
          <w:p>
            <w:pPr>
              <w:spacing w:after="0"/>
              <w:rPr>
                <w:rFonts w:ascii="Arial" w:cs="Arial" w:eastAsia="Arial" w:hAnsi="Arial"/>
                <w:sz w:val="16"/>
                <w:szCs w:val="16"/>
                <w:color w:val="0000EE"/>
                <w:w w:val="94"/>
              </w:rPr>
            </w:pPr>
            <w:hyperlink w:anchor="page57">
              <w:r>
                <w:rPr>
                  <w:rFonts w:ascii="Arial" w:cs="Arial" w:eastAsia="Arial" w:hAnsi="Arial"/>
                  <w:sz w:val="16"/>
                  <w:szCs w:val="16"/>
                  <w:color w:val="0000EE"/>
                  <w:w w:val="94"/>
                </w:rPr>
                <w:t>Certification of Principal Financial Officer pursuant to Section 302 of the Sarbanes-Oxley Act of 2002</w:t>
              </w:r>
            </w:hyperlink>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4"/>
                <w:szCs w:val="14"/>
                <w:color w:val="0000EE"/>
                <w:w w:val="80"/>
              </w:rPr>
              <w:t>(13)</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vMerge w:val="continue"/>
          </w:tcPr>
          <w:p>
            <w:pPr>
              <w:spacing w:after="0"/>
              <w:rPr>
                <w:sz w:val="3"/>
                <w:szCs w:val="3"/>
                <w:color w:val="auto"/>
              </w:rPr>
            </w:pPr>
          </w:p>
        </w:tc>
        <w:tc>
          <w:tcPr>
            <w:tcW w:w="6700" w:type="dxa"/>
            <w:vAlign w:val="bottom"/>
            <w:tcBorders>
              <w:bottom w:val="single" w:sz="8" w:color="0000EE"/>
            </w:tcBorders>
            <w:gridSpan w:val="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1020" w:type="dxa"/>
            <w:vAlign w:val="bottom"/>
            <w:vMerge w:val="restart"/>
          </w:tcPr>
          <w:p>
            <w:pPr>
              <w:jc w:val="right"/>
              <w:ind w:right="658"/>
              <w:spacing w:after="0"/>
              <w:rPr>
                <w:sz w:val="20"/>
                <w:szCs w:val="20"/>
                <w:color w:val="auto"/>
              </w:rPr>
            </w:pPr>
            <w:r>
              <w:rPr>
                <w:rFonts w:ascii="Arial" w:cs="Arial" w:eastAsia="Arial" w:hAnsi="Arial"/>
                <w:sz w:val="16"/>
                <w:szCs w:val="16"/>
                <w:color w:val="auto"/>
                <w:w w:val="83"/>
              </w:rPr>
              <w:t>32.1</w:t>
            </w:r>
          </w:p>
        </w:tc>
        <w:tc>
          <w:tcPr>
            <w:tcW w:w="6520" w:type="dxa"/>
            <w:vAlign w:val="bottom"/>
            <w:vMerge w:val="restart"/>
          </w:tcPr>
          <w:p>
            <w:pPr>
              <w:spacing w:after="0"/>
              <w:rPr>
                <w:rFonts w:ascii="Arial" w:cs="Arial" w:eastAsia="Arial" w:hAnsi="Arial"/>
                <w:sz w:val="16"/>
                <w:szCs w:val="16"/>
                <w:color w:val="0000EE"/>
                <w:w w:val="93"/>
              </w:rPr>
            </w:pPr>
            <w:hyperlink w:anchor="page58">
              <w:r>
                <w:rPr>
                  <w:rFonts w:ascii="Arial" w:cs="Arial" w:eastAsia="Arial" w:hAnsi="Arial"/>
                  <w:sz w:val="16"/>
                  <w:szCs w:val="16"/>
                  <w:color w:val="0000EE"/>
                  <w:w w:val="93"/>
                </w:rPr>
                <w:t>Certification of Chief Executive Officer pursuant to Section 906 of the Sarbanes-Oxley Act of 2002</w:t>
              </w:r>
            </w:hyperlink>
          </w:p>
        </w:tc>
        <w:tc>
          <w:tcPr>
            <w:tcW w:w="220" w:type="dxa"/>
            <w:vAlign w:val="bottom"/>
            <w:tcBorders>
              <w:bottom w:val="single" w:sz="8" w:color="0000EE"/>
            </w:tcBorders>
            <w:gridSpan w:val="4"/>
          </w:tcPr>
          <w:p>
            <w:pPr>
              <w:jc w:val="right"/>
              <w:spacing w:after="0"/>
              <w:rPr>
                <w:sz w:val="20"/>
                <w:szCs w:val="20"/>
                <w:color w:val="auto"/>
              </w:rPr>
            </w:pPr>
            <w:r>
              <w:rPr>
                <w:rFonts w:ascii="Arial" w:cs="Arial" w:eastAsia="Arial" w:hAnsi="Arial"/>
                <w:sz w:val="14"/>
                <w:szCs w:val="14"/>
                <w:color w:val="0000EE"/>
                <w:w w:val="80"/>
              </w:rPr>
              <w:t>(13)</w:t>
            </w:r>
          </w:p>
        </w:tc>
        <w:tc>
          <w:tcPr>
            <w:tcW w:w="2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vMerge w:val="continue"/>
          </w:tcPr>
          <w:p>
            <w:pPr>
              <w:spacing w:after="0"/>
              <w:rPr>
                <w:sz w:val="3"/>
                <w:szCs w:val="3"/>
                <w:color w:val="auto"/>
              </w:rPr>
            </w:pPr>
          </w:p>
        </w:tc>
        <w:tc>
          <w:tcPr>
            <w:tcW w:w="652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gridSpan w:val="3"/>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1020" w:type="dxa"/>
            <w:vAlign w:val="bottom"/>
            <w:vMerge w:val="restart"/>
          </w:tcPr>
          <w:p>
            <w:pPr>
              <w:jc w:val="right"/>
              <w:ind w:right="658"/>
              <w:spacing w:after="0"/>
              <w:rPr>
                <w:sz w:val="20"/>
                <w:szCs w:val="20"/>
                <w:color w:val="auto"/>
              </w:rPr>
            </w:pPr>
            <w:r>
              <w:rPr>
                <w:rFonts w:ascii="Arial" w:cs="Arial" w:eastAsia="Arial" w:hAnsi="Arial"/>
                <w:sz w:val="16"/>
                <w:szCs w:val="16"/>
                <w:color w:val="auto"/>
                <w:w w:val="83"/>
              </w:rPr>
              <w:t>32.2</w:t>
            </w:r>
          </w:p>
        </w:tc>
        <w:tc>
          <w:tcPr>
            <w:tcW w:w="6700" w:type="dxa"/>
            <w:vAlign w:val="bottom"/>
            <w:gridSpan w:val="3"/>
            <w:vMerge w:val="restart"/>
          </w:tcPr>
          <w:p>
            <w:pPr>
              <w:spacing w:after="0"/>
              <w:rPr>
                <w:rFonts w:ascii="Arial" w:cs="Arial" w:eastAsia="Arial" w:hAnsi="Arial"/>
                <w:sz w:val="16"/>
                <w:szCs w:val="16"/>
                <w:color w:val="0000EE"/>
                <w:w w:val="94"/>
              </w:rPr>
            </w:pPr>
            <w:hyperlink w:anchor="page59">
              <w:r>
                <w:rPr>
                  <w:rFonts w:ascii="Arial" w:cs="Arial" w:eastAsia="Arial" w:hAnsi="Arial"/>
                  <w:sz w:val="16"/>
                  <w:szCs w:val="16"/>
                  <w:color w:val="0000EE"/>
                  <w:w w:val="94"/>
                </w:rPr>
                <w:t>Certification of Principal Financial Officer pursuant to Section 906 of the Sarbanes-Oxley Act of 2002</w:t>
              </w:r>
            </w:hyperlink>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4"/>
                <w:szCs w:val="14"/>
                <w:color w:val="0000EE"/>
                <w:w w:val="80"/>
              </w:rPr>
              <w:t>(13)</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vMerge w:val="continue"/>
          </w:tcPr>
          <w:p>
            <w:pPr>
              <w:spacing w:after="0"/>
              <w:rPr>
                <w:sz w:val="3"/>
                <w:szCs w:val="3"/>
                <w:color w:val="auto"/>
              </w:rPr>
            </w:pPr>
          </w:p>
        </w:tc>
        <w:tc>
          <w:tcPr>
            <w:tcW w:w="6700" w:type="dxa"/>
            <w:vAlign w:val="bottom"/>
            <w:tcBorders>
              <w:bottom w:val="single" w:sz="8" w:color="0000EE"/>
            </w:tcBorders>
            <w:gridSpan w:val="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142" w:hanging="1025"/>
        <w:spacing w:after="0" w:line="259" w:lineRule="auto"/>
        <w:tabs>
          <w:tab w:leader="none" w:pos="11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financial information from National Beverage Corp.’s Annual Report on Form 10-K for the fiscal year ended April 28, 2018 is formatted in XBRL (eXtensible Business Reporting Language): (i) Consolidated Balance Sheets; (ii) Consolidated Statements of Income; (iii) Consolidated Statements of Comprehensive Income; (iv) Consolidated Statements of Shareholders’ Equity; (v) Consolidated Statements of Cash Flows; and (vi) the Notes to Consolidated Financial Statements.</w:t>
      </w:r>
    </w:p>
    <w:p>
      <w:pPr>
        <w:spacing w:after="0" w:line="1" w:lineRule="exact"/>
        <w:rPr>
          <w:sz w:val="20"/>
          <w:szCs w:val="20"/>
          <w:color w:val="auto"/>
        </w:rPr>
      </w:pPr>
    </w:p>
    <w:p>
      <w:pPr>
        <w:ind w:left="82"/>
        <w:spacing w:after="0"/>
        <w:rPr>
          <w:sz w:val="20"/>
          <w:szCs w:val="20"/>
          <w:color w:val="auto"/>
        </w:rPr>
      </w:pPr>
      <w:r>
        <w:rPr>
          <w:rFonts w:ascii="Arial" w:cs="Arial" w:eastAsia="Arial" w:hAnsi="Arial"/>
          <w:sz w:val="16"/>
          <w:szCs w:val="16"/>
          <w:color w:val="auto"/>
        </w:rPr>
        <w:t>________________________________</w:t>
      </w:r>
    </w:p>
    <w:p>
      <w:pPr>
        <w:spacing w:after="0" w:line="196" w:lineRule="exact"/>
        <w:rPr>
          <w:sz w:val="20"/>
          <w:szCs w:val="20"/>
          <w:color w:val="auto"/>
        </w:rPr>
      </w:pPr>
    </w:p>
    <w:p>
      <w:pPr>
        <w:ind w:left="582" w:hanging="582"/>
        <w:spacing w:after="0"/>
        <w:tabs>
          <w:tab w:leader="none" w:pos="5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23" w:lineRule="exact"/>
        <w:rPr>
          <w:sz w:val="20"/>
          <w:szCs w:val="20"/>
          <w:color w:val="auto"/>
        </w:rPr>
      </w:pPr>
    </w:p>
    <w:p>
      <w:pPr>
        <w:ind w:left="582" w:right="2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the Form S-1 Registration Statement (File No. 33-38986) on February 19, 1991 and is incorporated herein by reference.</w:t>
      </w:r>
    </w:p>
    <w:p>
      <w:pPr>
        <w:ind w:left="582" w:right="48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Form 8-K Current Report dated January 31, 2013 and is incorporated herein by reference.</w:t>
      </w:r>
    </w:p>
    <w:p>
      <w:pPr>
        <w:ind w:left="582" w:right="20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Amendment No. 1 to Form S-1 Registration Statement (File No. 33-38986) on July 26, 1991 and is incorporated herein by reference.</w:t>
      </w:r>
    </w:p>
    <w:p>
      <w:pPr>
        <w:ind w:left="582" w:right="66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Annual Report on Form 10-K for the fiscal year ended April 27, 1996 and is incorporated herein by reference.</w:t>
      </w:r>
    </w:p>
    <w:p>
      <w:pPr>
        <w:ind w:left="582" w:right="26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Registration Statement on Form S-8 (File No. 33-95308) on August 1, 1995 and is incorporated herein by reference.</w:t>
      </w:r>
    </w:p>
    <w:p>
      <w:pPr>
        <w:ind w:left="582" w:right="78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Annual Report on Form 10-K for the fiscal year ended May 3, 1997 and is incorporated herein by reference.</w:t>
      </w:r>
    </w:p>
    <w:p>
      <w:pPr>
        <w:ind w:left="582" w:right="22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Quarterly Report on Form 10-Q for the fiscal period ended January 29, 2011 and is incorporated herein by reference.</w:t>
      </w:r>
    </w:p>
    <w:p>
      <w:pPr>
        <w:ind w:left="582" w:right="22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Quarterly Report on Form 10-Q for the fiscal period ended January 31, 2009 and is incorporated herein by reference.</w:t>
      </w:r>
    </w:p>
    <w:p>
      <w:pPr>
        <w:ind w:left="582" w:right="22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Quarterly Report on Form 10-Q for the fiscal period ended January 26, 2013 and is incorporated herein by reference.</w:t>
      </w:r>
    </w:p>
    <w:p>
      <w:pPr>
        <w:ind w:left="582" w:right="34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Quarterly Report on Form 10-Q for the fiscal period ended August 1, 2015 and is incorporated herein by reference.</w:t>
      </w:r>
    </w:p>
    <w:p>
      <w:pPr>
        <w:ind w:left="582" w:right="66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Annual Report on Form 10-K for the fiscal year ended April 29, 2017 and is incorporated herein by reference.</w:t>
      </w:r>
    </w:p>
    <w:p>
      <w:pPr>
        <w:ind w:left="582" w:right="200" w:hanging="582"/>
        <w:spacing w:after="0" w:line="190" w:lineRule="auto"/>
        <w:tabs>
          <w:tab w:leader="none" w:pos="5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Previously filed with the Securities and Exchange Commission as an exhibit to Quarterly Report on Form 10-Q for the fiscal period ended October 28, 2017 and is incorporated herein by reference.</w:t>
      </w:r>
    </w:p>
    <w:p>
      <w:pPr>
        <w:ind w:left="582" w:hanging="582"/>
        <w:spacing w:after="0" w:line="185" w:lineRule="auto"/>
        <w:tabs>
          <w:tab w:leader="none" w:pos="582"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Filed herewith.</w:t>
      </w:r>
    </w:p>
    <w:p>
      <w:pPr>
        <w:spacing w:after="0" w:line="18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932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22"/>
          </w:cols>
          <w:pgMar w:left="238" w:top="120" w:right="239" w:bottom="1440" w:gutter="0" w:footer="0" w:header="0"/>
        </w:sectPr>
      </w:pPr>
    </w:p>
    <w:bookmarkStart w:id="50" w:name="page51"/>
    <w:bookmarkEnd w:id="5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NATIONAL BEVERAGE CORP.</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Gregory P. Cook</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Gregory P.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-116205</wp:posOffset>
            </wp:positionV>
            <wp:extent cx="253365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533650" cy="762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Vice President – Controller and</w:t>
      </w:r>
    </w:p>
    <w:p>
      <w:pPr>
        <w:spacing w:after="0" w:line="1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Accounting Officer</w:t>
      </w:r>
    </w:p>
    <w:p>
      <w:pPr>
        <w:spacing w:after="0" w:line="39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June 27, 2018</w:t>
      </w:r>
    </w:p>
    <w:p>
      <w:pPr>
        <w:spacing w:after="0" w:line="200" w:lineRule="exact"/>
        <w:rPr>
          <w:sz w:val="20"/>
          <w:szCs w:val="20"/>
          <w:color w:val="auto"/>
        </w:rPr>
      </w:pPr>
    </w:p>
    <w:p>
      <w:pPr>
        <w:spacing w:after="0" w:line="2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June 27, 2018.</w:t>
      </w:r>
    </w:p>
    <w:p>
      <w:pPr>
        <w:sectPr>
          <w:pgSz w:w="11900" w:h="16838" w:orient="portrait"/>
          <w:cols w:equalWidth="0" w:num="1">
            <w:col w:w="11420"/>
          </w:cols>
          <w:pgMar w:left="240" w:top="120" w:right="2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/s/ Nick A. Caporella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Nick A.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5412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 Joseph G. Caporella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Joseph G.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5412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Director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 George R. Bracken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5412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 Finance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 Gregory P. Cook</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Gregory P.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5412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 Controller 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 Cecil D. Conlee</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Cecil D. Conlee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-116205</wp:posOffset>
            </wp:positionV>
            <wp:extent cx="25412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Director</w:t>
      </w:r>
    </w:p>
    <w:p>
      <w:pPr>
        <w:spacing w:after="0" w:line="39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 Samuel C. Hathorn, Jr.</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Samuel C. Hathorn,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-116205</wp:posOffset>
            </wp:positionV>
            <wp:extent cx="25412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Director</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 Stanley M. Sheridan</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Stanley M.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-116205</wp:posOffset>
            </wp:positionV>
            <wp:extent cx="25412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2541270" cy="762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ectPr>
          <w:pgSz w:w="11900" w:h="16838" w:orient="portrait"/>
          <w:cols w:equalWidth="0" w:num="2">
            <w:col w:w="4920" w:space="720"/>
            <w:col w:w="5780"/>
          </w:cols>
          <w:pgMar w:left="240" w:top="120"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auto"/>
        </w:rPr>
        <w:t>EXHIBIT 10.17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CREDIT FACILITY RENEWAL AGREEMENT</w:t>
      </w:r>
    </w:p>
    <w:p>
      <w:pPr>
        <w:spacing w:after="0" w:line="200" w:lineRule="exact"/>
        <w:rPr>
          <w:sz w:val="20"/>
          <w:szCs w:val="20"/>
          <w:color w:val="auto"/>
        </w:rPr>
      </w:pPr>
    </w:p>
    <w:p>
      <w:pPr>
        <w:spacing w:after="0" w:line="204" w:lineRule="exact"/>
        <w:rPr>
          <w:sz w:val="20"/>
          <w:szCs w:val="20"/>
          <w:color w:val="auto"/>
        </w:rPr>
      </w:pPr>
    </w:p>
    <w:p>
      <w:pPr>
        <w:ind w:right="20" w:firstLine="587"/>
        <w:spacing w:after="0" w:line="291" w:lineRule="auto"/>
        <w:rPr>
          <w:sz w:val="20"/>
          <w:szCs w:val="20"/>
          <w:color w:val="auto"/>
        </w:rPr>
      </w:pPr>
      <w:r>
        <w:rPr>
          <w:rFonts w:ascii="Arial" w:cs="Arial" w:eastAsia="Arial" w:hAnsi="Arial"/>
          <w:sz w:val="16"/>
          <w:szCs w:val="16"/>
          <w:b w:val="1"/>
          <w:bCs w:val="1"/>
          <w:color w:val="auto"/>
        </w:rPr>
        <w:t xml:space="preserve">THIS CREDIT FACILITY RENEWAL AGREEMENT </w:t>
      </w:r>
      <w:r>
        <w:rPr>
          <w:rFonts w:ascii="Arial" w:cs="Arial" w:eastAsia="Arial" w:hAnsi="Arial"/>
          <w:sz w:val="16"/>
          <w:szCs w:val="16"/>
          <w:color w:val="auto"/>
        </w:rPr>
        <w:t>is executed as of April 26, 2018, by</w:t>
      </w:r>
      <w:r>
        <w:rPr>
          <w:rFonts w:ascii="Arial" w:cs="Arial" w:eastAsia="Arial" w:hAnsi="Arial"/>
          <w:sz w:val="16"/>
          <w:szCs w:val="16"/>
          <w:b w:val="1"/>
          <w:bCs w:val="1"/>
          <w:color w:val="auto"/>
        </w:rPr>
        <w:t xml:space="preserve"> NEWBEVCO, INC., </w:t>
      </w:r>
      <w:r>
        <w:rPr>
          <w:rFonts w:ascii="Arial" w:cs="Arial" w:eastAsia="Arial" w:hAnsi="Arial"/>
          <w:sz w:val="16"/>
          <w:szCs w:val="16"/>
          <w:color w:val="auto"/>
        </w:rPr>
        <w:t>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remaining entities signing below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in favor of </w:t>
      </w:r>
      <w:r>
        <w:rPr>
          <w:rFonts w:ascii="Arial" w:cs="Arial" w:eastAsia="Arial" w:hAnsi="Arial"/>
          <w:sz w:val="16"/>
          <w:szCs w:val="16"/>
          <w:b w:val="1"/>
          <w:bCs w:val="1"/>
          <w:color w:val="auto"/>
        </w:rPr>
        <w:t>FIFTH THIRD BANK,</w:t>
      </w:r>
      <w:r>
        <w:rPr>
          <w:rFonts w:ascii="Arial" w:cs="Arial" w:eastAsia="Arial" w:hAnsi="Arial"/>
          <w:sz w:val="16"/>
          <w:szCs w:val="16"/>
          <w:color w:val="auto"/>
        </w:rPr>
        <w:t xml:space="preserve"> an Ohio banking corporation (the “</w:t>
      </w:r>
      <w:r>
        <w:rPr>
          <w:rFonts w:ascii="Arial" w:cs="Arial" w:eastAsia="Arial" w:hAnsi="Arial"/>
          <w:sz w:val="16"/>
          <w:szCs w:val="16"/>
          <w:u w:val="single" w:color="auto"/>
          <w:color w:val="auto"/>
        </w:rPr>
        <w:t>Bank</w:t>
      </w:r>
      <w:r>
        <w:rPr>
          <w:rFonts w:ascii="Arial" w:cs="Arial" w:eastAsia="Arial" w:hAnsi="Arial"/>
          <w:sz w:val="16"/>
          <w:szCs w:val="16"/>
          <w:color w:val="auto"/>
        </w:rPr>
        <w:t>”).</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WITNESSETH:</w:t>
      </w:r>
    </w:p>
    <w:p>
      <w:pPr>
        <w:spacing w:after="0" w:line="208" w:lineRule="exact"/>
        <w:rPr>
          <w:sz w:val="20"/>
          <w:szCs w:val="20"/>
          <w:color w:val="auto"/>
        </w:rPr>
      </w:pPr>
    </w:p>
    <w:p>
      <w:pPr>
        <w:ind w:right="20" w:firstLine="587"/>
        <w:spacing w:after="0" w:line="29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Borrower obtained a credit facility (the “</w:t>
      </w:r>
      <w:r>
        <w:rPr>
          <w:rFonts w:ascii="Arial" w:cs="Arial" w:eastAsia="Arial" w:hAnsi="Arial"/>
          <w:sz w:val="16"/>
          <w:szCs w:val="16"/>
          <w:u w:val="single" w:color="auto"/>
          <w:color w:val="auto"/>
        </w:rPr>
        <w:t>Loan</w:t>
      </w:r>
      <w:r>
        <w:rPr>
          <w:rFonts w:ascii="Arial" w:cs="Arial" w:eastAsia="Arial" w:hAnsi="Arial"/>
          <w:sz w:val="16"/>
          <w:szCs w:val="16"/>
          <w:color w:val="auto"/>
        </w:rPr>
        <w:t>”) from the Bank in the original principal amount of Twenty Five Million and 00/100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($25,000,000.00) pursuant to that certain Credit Agreement between the Borrower and the Bank dated as of June 18, 2015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w:t>
      </w:r>
    </w:p>
    <w:p>
      <w:pPr>
        <w:spacing w:after="0" w:line="141" w:lineRule="exact"/>
        <w:rPr>
          <w:sz w:val="20"/>
          <w:szCs w:val="20"/>
          <w:color w:val="auto"/>
        </w:rPr>
      </w:pPr>
    </w:p>
    <w:p>
      <w:pPr>
        <w:ind w:right="20" w:firstLine="587"/>
        <w:spacing w:after="0" w:line="29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credit facility was subject to the guaranty of each of the Guarantors pursuant to that certain Continuing and Unconditional Guaranty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Guarantors in favor of the Bank dated as of June 18, 2015 (the “</w:t>
      </w:r>
      <w:r>
        <w:rPr>
          <w:rFonts w:ascii="Arial" w:cs="Arial" w:eastAsia="Arial" w:hAnsi="Arial"/>
          <w:sz w:val="16"/>
          <w:szCs w:val="16"/>
          <w:u w:val="single" w:color="auto"/>
          <w:color w:val="auto"/>
        </w:rPr>
        <w:t>Guaranty</w:t>
      </w:r>
      <w:r>
        <w:rPr>
          <w:rFonts w:ascii="Arial" w:cs="Arial" w:eastAsia="Arial" w:hAnsi="Arial"/>
          <w:sz w:val="16"/>
          <w:szCs w:val="16"/>
          <w:color w:val="auto"/>
        </w:rPr>
        <w:t>”); and</w:t>
      </w:r>
    </w:p>
    <w:p>
      <w:pPr>
        <w:spacing w:after="0" w:line="141" w:lineRule="exact"/>
        <w:rPr>
          <w:sz w:val="20"/>
          <w:szCs w:val="20"/>
          <w:color w:val="auto"/>
        </w:rPr>
      </w:pPr>
    </w:p>
    <w:p>
      <w:pPr>
        <w:ind w:right="20" w:firstLine="587"/>
        <w:spacing w:after="0" w:line="326"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to induce the Bank to renew the Loan, the Borrower and the Guarantors agree to reaffirm all of their respective obligations to the Bank pursuant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Credit Agreement, the Guaranty and all other documents they executed in connection with the Loan and the renewal (collectively, the “</w:t>
      </w:r>
      <w:r>
        <w:rPr>
          <w:rFonts w:ascii="Arial" w:cs="Arial" w:eastAsia="Arial" w:hAnsi="Arial"/>
          <w:sz w:val="15"/>
          <w:szCs w:val="15"/>
          <w:u w:val="single" w:color="auto"/>
          <w:color w:val="auto"/>
        </w:rPr>
        <w:t>Loan Documents</w:t>
      </w:r>
      <w:r>
        <w:rPr>
          <w:rFonts w:ascii="Arial" w:cs="Arial" w:eastAsia="Arial" w:hAnsi="Arial"/>
          <w:sz w:val="15"/>
          <w:szCs w:val="15"/>
          <w:color w:val="auto"/>
        </w:rPr>
        <w:t>”).</w:t>
      </w:r>
    </w:p>
    <w:p>
      <w:pPr>
        <w:spacing w:after="0" w:line="119" w:lineRule="exact"/>
        <w:rPr>
          <w:sz w:val="20"/>
          <w:szCs w:val="20"/>
          <w:color w:val="auto"/>
        </w:rPr>
      </w:pPr>
    </w:p>
    <w:p>
      <w:pPr>
        <w:ind w:right="20" w:firstLine="587"/>
        <w:spacing w:after="0" w:line="291"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for other good and valuable consideration, the receipt of which is hereby acknowledged,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Guarantors agree as follows:</w:t>
      </w:r>
    </w:p>
    <w:p>
      <w:pPr>
        <w:spacing w:after="0" w:line="145" w:lineRule="exact"/>
        <w:rPr>
          <w:sz w:val="20"/>
          <w:szCs w:val="20"/>
          <w:color w:val="auto"/>
        </w:rPr>
      </w:pPr>
    </w:p>
    <w:p>
      <w:pPr>
        <w:ind w:left="900" w:hanging="31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definition of “Termination Date” in the Credit Agreement is amended to June 18, 2021.</w:t>
      </w:r>
    </w:p>
    <w:p>
      <w:pPr>
        <w:spacing w:after="0" w:line="207" w:lineRule="exact"/>
        <w:rPr>
          <w:rFonts w:ascii="Arial" w:cs="Arial" w:eastAsia="Arial" w:hAnsi="Arial"/>
          <w:sz w:val="16"/>
          <w:szCs w:val="16"/>
          <w:color w:val="auto"/>
        </w:rPr>
      </w:pPr>
    </w:p>
    <w:p>
      <w:pPr>
        <w:jc w:val="both"/>
        <w:ind w:right="20" w:firstLine="585"/>
        <w:spacing w:after="0" w:line="265" w:lineRule="auto"/>
        <w:tabs>
          <w:tab w:leader="none" w:pos="9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set forth herein, all terms and conditions set forth in the Loan Documents shall continue to apply to the Loan, as renewed, and shall be for the benefit of the Bank. More specifically and without limiting the effect of the foregoing, the Borrower and the Guarantors acknowledge and agree that their respective representations, warranties, covenants and obligations contained within the Loan Documents shall remain representations, warranties, covenants and obligations of them and shall be deemed to be made as of the date of this Agreement, in addition to the dates on which they were previously made to the Bank.</w:t>
      </w:r>
    </w:p>
    <w:p>
      <w:pPr>
        <w:spacing w:after="0" w:line="166" w:lineRule="exact"/>
        <w:rPr>
          <w:rFonts w:ascii="Arial" w:cs="Arial" w:eastAsia="Arial" w:hAnsi="Arial"/>
          <w:sz w:val="16"/>
          <w:szCs w:val="16"/>
          <w:color w:val="auto"/>
        </w:rPr>
      </w:pPr>
    </w:p>
    <w:p>
      <w:pPr>
        <w:jc w:val="both"/>
        <w:ind w:firstLine="585"/>
        <w:spacing w:after="0" w:line="276" w:lineRule="auto"/>
        <w:tabs>
          <w:tab w:leader="none" w:pos="935"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Borrower and the Guarantors hereby release and discharge the Bank and its successors, assigns, officers, managers, directors, shareholders, employees and agents (collectively, the “</w:t>
      </w:r>
      <w:r>
        <w:rPr>
          <w:rFonts w:ascii="Arial" w:cs="Arial" w:eastAsia="Arial" w:hAnsi="Arial"/>
          <w:sz w:val="15"/>
          <w:szCs w:val="15"/>
          <w:u w:val="single" w:color="auto"/>
          <w:color w:val="auto"/>
        </w:rPr>
        <w:t>Bank Parties</w:t>
      </w:r>
      <w:r>
        <w:rPr>
          <w:rFonts w:ascii="Arial" w:cs="Arial" w:eastAsia="Arial" w:hAnsi="Arial"/>
          <w:sz w:val="15"/>
          <w:szCs w:val="15"/>
          <w:color w:val="auto"/>
        </w:rPr>
        <w:t>”) and do hereby jointly and severally indemnify and hold harmless the Bank Parties from any and all claims, counterclaims, demands, damages, debts, agreements, covenants, suits, contracts, obligations, liabilities, accounts, offsets, rights, actions and causes of action of any nature whatsoever, including, without limitation, all claims, demands, and causes of action for contribution and indemnity, whether arising at law or in equity (including, without limitation, claims of fraud, duress, mistake, tortious interference or usury), whether presently possessed or possessed in the future, whether known or unknown, whether liability be direct or indirect, liquidated or unliquidated, whether presently accrued or to accrue hereafter, whether or not heretofore asserted, for or because of or as a result of any act, omission, communication, transaction, occurrence, representation, promise, damage, breach of contract, fraud, violation of any statute or law, commission of any tort, or any other matter whatsoever or thing done, omitted or suffered to be done by the Bank Parties which have occurred in whole or in part, or were initiated at any time up to and through the execution of this Reaffirmation of Obligations. In addition, the Borrower and the Guarantors hereby acknowledge, confirm and warrant to the Bank that, as of the date hereof, none of the Borrower or any of the Guarantors has any defense, right of set-off, claim or counterclaim against the Bank under, arising out of, or in any manner connected with the Loan, the Loan Documents, any collateral pledged to the Bank in connection with the Loan, or against any of the indebtedness evidenced or secured thereby or under any other documents executed in connection therewith or relating thereto, any and all of which the Borrower and the Guarantors hereby expressly waive.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725932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5932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2" w:name="page53"/>
    <w:bookmarkEnd w:id="52"/>
    <w:p>
      <w:pPr>
        <w:jc w:val="both"/>
        <w:ind w:firstLine="585"/>
        <w:spacing w:after="0" w:line="265" w:lineRule="auto"/>
        <w:tabs>
          <w:tab w:leader="none" w:pos="9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Borrower shall pay the legal fees and costs of Frank, Weinberg &amp; Black, P.L., the Bank’s counsel, in connection with the renewal of the Loan. The Borrower and the Guarantors acknowledge that the legal services performed by Frank, Weinberg &amp; Black, P.L. in connection with the renewal of the Loan are being performed on behalf of the Bank and not the Borrower or any of the Guarantors. Such services are being paid for by the Borrower as part of the loan renewal costs as reflected on the Closing Statement.</w:t>
      </w:r>
    </w:p>
    <w:p>
      <w:pPr>
        <w:spacing w:after="0" w:line="166" w:lineRule="exact"/>
        <w:rPr>
          <w:rFonts w:ascii="Arial" w:cs="Arial" w:eastAsia="Arial" w:hAnsi="Arial"/>
          <w:sz w:val="16"/>
          <w:szCs w:val="16"/>
          <w:color w:val="auto"/>
        </w:rPr>
      </w:pPr>
    </w:p>
    <w:p>
      <w:pPr>
        <w:jc w:val="both"/>
        <w:ind w:right="20" w:firstLine="585"/>
        <w:spacing w:after="0" w:line="284" w:lineRule="auto"/>
        <w:tabs>
          <w:tab w:leader="none" w:pos="91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BORROWER AND THE GUARANTORS HEREBY KNOWINGLY, VOLUNTARILY AND INTENTIONALLY WAIVE THE RIGHT TO A TRIAL BY JURY IN RESPECT OF ANY LITIGATION BASED HEREON, OR ARISING OUT OF, UNDER OR IN CONNECTION WITH THE REAFFIRMATION OF OBLIGATIONS, THE LOAN DOCUMENTS OR ANY OTHER AGREEMENT OR DOCUMENT EXECUTED IN CONJUNCTION HEREWITH, OR ANY COURSE OF CONDUCT, COURSE OF DEALING, STATEMENTS (VERBAL OR WRITTEN) OR ACTIONS OF ANY PARTY. THE BORROWER AND THE GUARANTORS ACKNOWLEDGE THAT THIS WAIVER CONSTITUTES A MATERIAL INDUCEMENT TO THE BANK TO GRANT PERMISSION FOR THE RENEWAL.</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undersigned have caused this Reaffirmation of Obligations to be duly executed and delivered on the day and year first above written.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Newbevco,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Bevco Sales,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Big Shot Beverages,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Everfresh Beverages,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Faygo Beverages, Inc., a Michigan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Faygo Sales Company, a Texas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National Beverage Vending Company,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National Productions,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National Retail Brands,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Paco,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Beverages,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Beverages International,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Midwest,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Sales,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SW Inc.,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Sweetener Corp., a Delaware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Shasta West, Inc., a Delaware corporation</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By:/s/ George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-6985</wp:posOffset>
            </wp:positionV>
            <wp:extent cx="147129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471295" cy="762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George Bracken, Vice President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43"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3"/>
          </w:tcPr>
          <w:p>
            <w:pPr>
              <w:ind w:left="900"/>
              <w:spacing w:after="0"/>
              <w:rPr>
                <w:sz w:val="20"/>
                <w:szCs w:val="20"/>
                <w:color w:val="auto"/>
              </w:rPr>
            </w:pPr>
            <w:r>
              <w:rPr>
                <w:rFonts w:ascii="Arial" w:cs="Arial" w:eastAsia="Arial" w:hAnsi="Arial"/>
                <w:sz w:val="16"/>
                <w:szCs w:val="16"/>
                <w:b w:val="1"/>
                <w:bCs w:val="1"/>
                <w:color w:val="auto"/>
              </w:rPr>
              <w:t>SUBSIDIARIES OF REGISTRANT</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80"/>
        </w:trPr>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6"/>
                <w:szCs w:val="16"/>
                <w:color w:val="auto"/>
                <w:w w:val="85"/>
              </w:rPr>
              <w:t>Percentage</w:t>
            </w: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0" w:type="dxa"/>
            <w:vAlign w:val="bottom"/>
            <w:gridSpan w:val="3"/>
          </w:tcPr>
          <w:p>
            <w:pPr>
              <w:ind w:left="3040"/>
              <w:spacing w:after="0"/>
              <w:rPr>
                <w:sz w:val="20"/>
                <w:szCs w:val="20"/>
                <w:color w:val="auto"/>
              </w:rPr>
            </w:pPr>
            <w:r>
              <w:rPr>
                <w:rFonts w:ascii="Arial" w:cs="Arial" w:eastAsia="Arial" w:hAnsi="Arial"/>
                <w:sz w:val="16"/>
                <w:szCs w:val="16"/>
                <w:color w:val="auto"/>
              </w:rPr>
              <w:t>Jurisdiction of</w:t>
            </w:r>
          </w:p>
        </w:tc>
        <w:tc>
          <w:tcPr>
            <w:tcW w:w="1560" w:type="dxa"/>
            <w:vAlign w:val="bottom"/>
            <w:gridSpan w:val="2"/>
          </w:tcPr>
          <w:p>
            <w:pPr>
              <w:jc w:val="center"/>
              <w:ind w:right="660"/>
              <w:spacing w:after="0"/>
              <w:rPr>
                <w:sz w:val="20"/>
                <w:szCs w:val="20"/>
                <w:color w:val="auto"/>
              </w:rPr>
            </w:pPr>
            <w:r>
              <w:rPr>
                <w:rFonts w:ascii="Arial" w:cs="Arial" w:eastAsia="Arial" w:hAnsi="Arial"/>
                <w:sz w:val="16"/>
                <w:szCs w:val="16"/>
                <w:color w:val="auto"/>
                <w:w w:val="98"/>
              </w:rPr>
              <w:t>of Voting</w:t>
            </w:r>
          </w:p>
        </w:tc>
      </w:tr>
      <w:tr>
        <w:trPr>
          <w:trHeight w:val="172"/>
        </w:trPr>
        <w:tc>
          <w:tcPr>
            <w:tcW w:w="3540" w:type="dxa"/>
            <w:vAlign w:val="bottom"/>
            <w:gridSpan w:val="2"/>
          </w:tcPr>
          <w:p>
            <w:pPr>
              <w:spacing w:after="0" w:line="171" w:lineRule="exact"/>
              <w:rPr>
                <w:sz w:val="20"/>
                <w:szCs w:val="20"/>
                <w:color w:val="auto"/>
              </w:rPr>
            </w:pPr>
            <w:r>
              <w:rPr>
                <w:rFonts w:ascii="Arial" w:cs="Arial" w:eastAsia="Arial" w:hAnsi="Arial"/>
                <w:sz w:val="16"/>
                <w:szCs w:val="16"/>
                <w:color w:val="auto"/>
              </w:rPr>
              <w:t>Name of Subsidiary</w:t>
            </w:r>
          </w:p>
        </w:tc>
        <w:tc>
          <w:tcPr>
            <w:tcW w:w="3080" w:type="dxa"/>
            <w:vAlign w:val="bottom"/>
          </w:tcPr>
          <w:p>
            <w:pPr>
              <w:spacing w:after="0"/>
              <w:rPr>
                <w:sz w:val="14"/>
                <w:szCs w:val="14"/>
                <w:color w:val="auto"/>
              </w:rPr>
            </w:pPr>
          </w:p>
        </w:tc>
        <w:tc>
          <w:tcPr>
            <w:tcW w:w="2520" w:type="dxa"/>
            <w:vAlign w:val="bottom"/>
            <w:gridSpan w:val="2"/>
          </w:tcPr>
          <w:p>
            <w:pPr>
              <w:spacing w:after="0" w:line="171" w:lineRule="exact"/>
              <w:rPr>
                <w:sz w:val="20"/>
                <w:szCs w:val="20"/>
                <w:color w:val="auto"/>
              </w:rPr>
            </w:pPr>
            <w:r>
              <w:rPr>
                <w:rFonts w:ascii="Arial" w:cs="Arial" w:eastAsia="Arial" w:hAnsi="Arial"/>
                <w:sz w:val="16"/>
                <w:szCs w:val="16"/>
                <w:color w:val="auto"/>
              </w:rPr>
              <w:t>Incorporation</w:t>
            </w:r>
          </w:p>
        </w:tc>
        <w:tc>
          <w:tcPr>
            <w:tcW w:w="1560" w:type="dxa"/>
            <w:vAlign w:val="bottom"/>
            <w:gridSpan w:val="2"/>
          </w:tcPr>
          <w:p>
            <w:pPr>
              <w:jc w:val="center"/>
              <w:ind w:right="680"/>
              <w:spacing w:after="0" w:line="171" w:lineRule="exact"/>
              <w:rPr>
                <w:sz w:val="20"/>
                <w:szCs w:val="20"/>
                <w:color w:val="auto"/>
              </w:rPr>
            </w:pPr>
            <w:r>
              <w:rPr>
                <w:rFonts w:ascii="Arial" w:cs="Arial" w:eastAsia="Arial" w:hAnsi="Arial"/>
                <w:sz w:val="16"/>
                <w:szCs w:val="16"/>
                <w:color w:val="auto"/>
                <w:w w:val="92"/>
              </w:rPr>
              <w:t>Stock Owned</w:t>
            </w:r>
          </w:p>
        </w:tc>
      </w:tr>
      <w:tr>
        <w:trPr>
          <w:trHeight w:val="213"/>
        </w:trPr>
        <w:tc>
          <w:tcPr>
            <w:tcW w:w="130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BevCo Sales,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Beverage Corporation International,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Big Shot Beverages,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Everfresh Beverages,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Faygo Beverages,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Michigan</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LaCroix Sparkling Water,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National Beverage Vending Company</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National Retail Brands,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NewBevCo,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NutraFizz Products Corp.</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PACO,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Shasta Beverages,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Shasta Beverages International,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Shasta Sales,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Shasta Sweetener Corp.</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Shasta West, Inc.</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Sundance Beverage Company</w:t>
            </w:r>
          </w:p>
        </w:tc>
        <w:tc>
          <w:tcPr>
            <w:tcW w:w="30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Delaware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680" w:type="dxa"/>
            <w:vAlign w:val="bottom"/>
            <w:shd w:val="clear" w:color="auto" w:fill="CCEEFF"/>
          </w:tcPr>
          <w:p>
            <w:pPr>
              <w:spacing w:after="0"/>
              <w:rPr>
                <w:sz w:val="17"/>
                <w:szCs w:val="17"/>
                <w:color w:val="auto"/>
              </w:rPr>
            </w:pPr>
          </w:p>
        </w:tc>
      </w:tr>
    </w:tbl>
    <w:p>
      <w:pPr>
        <w:sectPr>
          <w:pgSz w:w="11900" w:h="16838" w:orient="portrait"/>
          <w:cols w:equalWidth="0" w:num="1">
            <w:col w:w="11440"/>
          </w:cols>
          <w:pgMar w:left="240" w:top="123" w:right="21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23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consent to the incorporation by reference in the Registration Statement No. 333-97415 on Form S-8 of National Beverage Corp. of our report dated June 27, 2018 related to the consolidated financial statements and the effectiveness of internal control over financial reporting of National Beverage Corp. which appears in this Annual Report on Form 10-K of National Beverage Corp. for the year ended April 28, 2018.</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Ft. Lauderdale, Florida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June 27, 2018</w:t>
      </w:r>
    </w:p>
    <w:p>
      <w:pPr>
        <w:sectPr>
          <w:pgSz w:w="11900" w:h="16838" w:orient="portrait"/>
          <w:cols w:equalWidth="0" w:num="1">
            <w:col w:w="11440"/>
          </w:cols>
          <w:pgMar w:left="240" w:top="123"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31.1</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I, Nick A. Caporella, certify that:</w:t>
      </w:r>
    </w:p>
    <w:p>
      <w:pPr>
        <w:spacing w:after="0" w:line="196" w:lineRule="exact"/>
        <w:rPr>
          <w:sz w:val="20"/>
          <w:szCs w:val="20"/>
          <w:color w:val="auto"/>
        </w:rPr>
      </w:pPr>
    </w:p>
    <w:p>
      <w:pPr>
        <w:ind w:left="582" w:hanging="582"/>
        <w:spacing w:after="0"/>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National Beverage Corp.;</w:t>
      </w:r>
    </w:p>
    <w:p>
      <w:pPr>
        <w:spacing w:after="0" w:line="207" w:lineRule="exact"/>
        <w:rPr>
          <w:rFonts w:ascii="Arial" w:cs="Arial" w:eastAsia="Arial" w:hAnsi="Arial"/>
          <w:sz w:val="16"/>
          <w:szCs w:val="16"/>
          <w:color w:val="auto"/>
        </w:rPr>
      </w:pPr>
    </w:p>
    <w:p>
      <w:pPr>
        <w:ind w:left="582" w:right="20" w:hanging="582"/>
        <w:spacing w:after="0" w:line="285" w:lineRule="auto"/>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582" w:right="20" w:hanging="582"/>
        <w:spacing w:after="0" w:line="285" w:lineRule="auto"/>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82" w:hanging="582"/>
        <w:spacing w:after="0"/>
        <w:tabs>
          <w:tab w:leader="none" w:pos="582"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5"/>
          <w:szCs w:val="15"/>
          <w:color w:val="auto"/>
        </w:rPr>
      </w:pPr>
    </w:p>
    <w:p>
      <w:pPr>
        <w:ind w:left="582"/>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07" w:lineRule="exact"/>
        <w:rPr>
          <w:rFonts w:ascii="Arial" w:cs="Arial" w:eastAsia="Arial" w:hAnsi="Arial"/>
          <w:sz w:val="15"/>
          <w:szCs w:val="15"/>
          <w:color w:val="auto"/>
        </w:rPr>
      </w:pPr>
    </w:p>
    <w:p>
      <w:pPr>
        <w:jc w:val="both"/>
        <w:ind w:left="882" w:right="20" w:hanging="295"/>
        <w:spacing w:after="0" w:line="260" w:lineRule="auto"/>
        <w:tabs>
          <w:tab w:leader="none" w:pos="882"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jc w:val="both"/>
        <w:ind w:left="882" w:right="20" w:hanging="295"/>
        <w:spacing w:after="0" w:line="255" w:lineRule="auto"/>
        <w:tabs>
          <w:tab w:leader="none" w:pos="882"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882" w:right="20" w:hanging="295"/>
        <w:spacing w:after="0" w:line="255" w:lineRule="auto"/>
        <w:tabs>
          <w:tab w:leader="none" w:pos="88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82" w:right="20" w:hanging="295"/>
        <w:spacing w:after="0" w:line="263" w:lineRule="auto"/>
        <w:tabs>
          <w:tab w:leader="none" w:pos="882"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582" w:right="20" w:hanging="582"/>
        <w:spacing w:after="0" w:line="285" w:lineRule="auto"/>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882" w:right="20" w:hanging="295"/>
        <w:spacing w:after="0" w:line="285" w:lineRule="auto"/>
        <w:tabs>
          <w:tab w:leader="none" w:pos="88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882" w:right="20" w:hanging="295"/>
        <w:spacing w:after="0" w:line="285" w:lineRule="auto"/>
        <w:tabs>
          <w:tab w:leader="none" w:pos="88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 June 27, 2018</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/s/ Nick A.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29476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6"/>
          <w:szCs w:val="16"/>
          <w:color w:val="auto"/>
        </w:rPr>
        <w:t>Nick A. Caporella</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Chairman of the Board and</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2"/>
          </w:cols>
          <w:pgMar w:left="238" w:top="123" w:right="21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31.2</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I, George R. Bracken, certify that:</w:t>
      </w:r>
    </w:p>
    <w:p>
      <w:pPr>
        <w:spacing w:after="0" w:line="196" w:lineRule="exact"/>
        <w:rPr>
          <w:sz w:val="20"/>
          <w:szCs w:val="20"/>
          <w:color w:val="auto"/>
        </w:rPr>
      </w:pPr>
    </w:p>
    <w:p>
      <w:pPr>
        <w:ind w:left="582" w:hanging="582"/>
        <w:spacing w:after="0"/>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National Beverage Corp.;</w:t>
      </w:r>
    </w:p>
    <w:p>
      <w:pPr>
        <w:spacing w:after="0" w:line="207" w:lineRule="exact"/>
        <w:rPr>
          <w:rFonts w:ascii="Arial" w:cs="Arial" w:eastAsia="Arial" w:hAnsi="Arial"/>
          <w:sz w:val="16"/>
          <w:szCs w:val="16"/>
          <w:color w:val="auto"/>
        </w:rPr>
      </w:pPr>
    </w:p>
    <w:p>
      <w:pPr>
        <w:ind w:left="582" w:right="20" w:hanging="582"/>
        <w:spacing w:after="0" w:line="285" w:lineRule="auto"/>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582" w:right="20" w:hanging="582"/>
        <w:spacing w:after="0" w:line="285" w:lineRule="auto"/>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82" w:hanging="582"/>
        <w:spacing w:after="0"/>
        <w:tabs>
          <w:tab w:leader="none" w:pos="5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5"/>
          <w:szCs w:val="15"/>
          <w:color w:val="auto"/>
        </w:rPr>
      </w:pPr>
    </w:p>
    <w:p>
      <w:pPr>
        <w:ind w:left="582"/>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07" w:lineRule="exact"/>
        <w:rPr>
          <w:rFonts w:ascii="Arial" w:cs="Arial" w:eastAsia="Arial" w:hAnsi="Arial"/>
          <w:sz w:val="15"/>
          <w:szCs w:val="15"/>
          <w:color w:val="auto"/>
        </w:rPr>
      </w:pPr>
    </w:p>
    <w:p>
      <w:pPr>
        <w:jc w:val="both"/>
        <w:ind w:left="882" w:right="20" w:hanging="295"/>
        <w:spacing w:after="0" w:line="260" w:lineRule="auto"/>
        <w:tabs>
          <w:tab w:leader="none" w:pos="8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jc w:val="both"/>
        <w:ind w:left="882" w:right="20" w:hanging="295"/>
        <w:spacing w:after="0" w:line="255" w:lineRule="auto"/>
        <w:tabs>
          <w:tab w:leader="none" w:pos="8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882" w:right="20" w:hanging="295"/>
        <w:spacing w:after="0" w:line="255" w:lineRule="auto"/>
        <w:tabs>
          <w:tab w:leader="none" w:pos="8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82" w:right="20" w:hanging="295"/>
        <w:spacing w:after="0" w:line="263" w:lineRule="auto"/>
        <w:tabs>
          <w:tab w:leader="none" w:pos="8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582" w:right="20" w:hanging="582"/>
        <w:spacing w:after="0" w:line="285" w:lineRule="auto"/>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882" w:right="20" w:hanging="295"/>
        <w:spacing w:after="0" w:line="285" w:lineRule="auto"/>
        <w:tabs>
          <w:tab w:leader="none" w:pos="8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882" w:right="20" w:hanging="295"/>
        <w:spacing w:after="0" w:line="285" w:lineRule="auto"/>
        <w:tabs>
          <w:tab w:leader="none" w:pos="8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 June 27, 2018</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/s/ 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3589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6"/>
          <w:szCs w:val="16"/>
          <w:color w:val="auto"/>
        </w:rPr>
        <w:t>George R. Bracken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Executive Vice President - Finance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42"/>
          </w:cols>
          <w:pgMar w:left="238" w:top="123" w:right="21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18 U.S.C. SECTION 1350</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2" w:lineRule="exact"/>
        <w:rPr>
          <w:sz w:val="20"/>
          <w:szCs w:val="20"/>
          <w:color w:val="auto"/>
        </w:rPr>
      </w:pPr>
    </w:p>
    <w:p>
      <w:pPr>
        <w:jc w:val="both"/>
        <w:ind w:left="2" w:right="20"/>
        <w:spacing w:after="0" w:line="270" w:lineRule="auto"/>
        <w:rPr>
          <w:sz w:val="20"/>
          <w:szCs w:val="20"/>
          <w:color w:val="auto"/>
        </w:rPr>
      </w:pPr>
      <w:r>
        <w:rPr>
          <w:rFonts w:ascii="Arial" w:cs="Arial" w:eastAsia="Arial" w:hAnsi="Arial"/>
          <w:sz w:val="16"/>
          <w:szCs w:val="16"/>
          <w:color w:val="auto"/>
        </w:rPr>
        <w:t>In connection with the Annual Report of National Beverage Corp. (the “Company”) on Form 10-K for the period ended April 28, 2018 (the “Report”), I, Nick A. Caporella, Chairman of the Board and Chief Executive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582" w:hanging="582"/>
        <w:spacing w:after="0"/>
        <w:tabs>
          <w:tab w:leader="none" w:pos="5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2" w:right="1380" w:hanging="2"/>
        <w:spacing w:after="0" w:line="510" w:lineRule="auto"/>
        <w:tabs>
          <w:tab w:leader="none" w:pos="5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June 27, 2018</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/s/ Nick A.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3722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372235" cy="762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6"/>
          <w:szCs w:val="16"/>
          <w:color w:val="auto"/>
        </w:rPr>
        <w:t>Nick A. Caporella</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Chairman of the Board and</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2"/>
          </w:cols>
          <w:pgMar w:left="238" w:top="123" w:right="21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32.2</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18 U.S.C. SECTION 1350</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2" w:lineRule="exact"/>
        <w:rPr>
          <w:sz w:val="20"/>
          <w:szCs w:val="20"/>
          <w:color w:val="auto"/>
        </w:rPr>
      </w:pPr>
    </w:p>
    <w:p>
      <w:pPr>
        <w:jc w:val="both"/>
        <w:ind w:left="2" w:right="20"/>
        <w:spacing w:after="0" w:line="270" w:lineRule="auto"/>
        <w:rPr>
          <w:sz w:val="20"/>
          <w:szCs w:val="20"/>
          <w:color w:val="auto"/>
        </w:rPr>
      </w:pPr>
      <w:r>
        <w:rPr>
          <w:rFonts w:ascii="Arial" w:cs="Arial" w:eastAsia="Arial" w:hAnsi="Arial"/>
          <w:sz w:val="16"/>
          <w:szCs w:val="16"/>
          <w:color w:val="auto"/>
        </w:rPr>
        <w:t>In connection with the Annual Report of National Beverage Corp. (the “Company”) on Form 10-K for the period ended April 28, 2018 (the “Report”), I, George R. Bracken, Executive Vice President - Finance of the Company, certify, pursuant to 18 U.S.C. section 1350, as adopted pursuant to section 906 of the Sarbanes-Oxley Act of 2002, that to my knowledge:</w:t>
      </w:r>
    </w:p>
    <w:p>
      <w:pPr>
        <w:spacing w:after="0" w:line="162" w:lineRule="exact"/>
        <w:rPr>
          <w:sz w:val="20"/>
          <w:szCs w:val="20"/>
          <w:color w:val="auto"/>
        </w:rPr>
      </w:pPr>
    </w:p>
    <w:p>
      <w:pPr>
        <w:ind w:left="582" w:hanging="582"/>
        <w:spacing w:after="0"/>
        <w:tabs>
          <w:tab w:leader="none" w:pos="5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2" w:right="1460" w:hanging="2"/>
        <w:spacing w:after="0" w:line="510" w:lineRule="auto"/>
        <w:tabs>
          <w:tab w:leader="none" w:pos="5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June 27, 2018</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/s/ 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3849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384935" cy="762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6"/>
          <w:szCs w:val="16"/>
          <w:color w:val="auto"/>
        </w:rPr>
        <w:t>George R. Bracken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Executive Vice President – Finance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42"/>
      </w:cols>
      <w:pgMar w:left="238"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21"/>
    </w:lvl>
  </w:abstractNum>
  <w:abstractNum w:abstractNumId="16">
    <w:nsid w:val="333AB105"/>
    <w:multiLevelType w:val="hybridMultilevel"/>
    <w:lvl w:ilvl="0">
      <w:lvlJc w:val="left"/>
      <w:lvlText w:val="%1"/>
      <w:numFmt w:val="decimal"/>
      <w:start w:val="23"/>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73" Type="http://schemas.openxmlformats.org/officeDocument/2006/relationships/hyperlink" Target="http://www.sec.gov/Archives/edgar/data/69891/000114420413005136/v333530_ex3-1.htm" TargetMode="External"/><Relationship Id="rId74" Type="http://schemas.openxmlformats.org/officeDocument/2006/relationships/hyperlink" Target="http://www.sec.gov/Archives/edgar/data/69891/0000950144-97-008440.txt" TargetMode="External"/><Relationship Id="rId75" Type="http://schemas.openxmlformats.org/officeDocument/2006/relationships/hyperlink" Target="http://www.sec.gov/Archives/edgar/data/69891/000143774911001452/ex10-1.htm" TargetMode="External"/><Relationship Id="rId76" Type="http://schemas.openxmlformats.org/officeDocument/2006/relationships/hyperlink" Target="http://www.sec.gov/Archives/edgar/data/69891/000095014409002138/g18059exv10w1.htm" TargetMode="External"/><Relationship Id="rId77" Type="http://schemas.openxmlformats.org/officeDocument/2006/relationships/hyperlink" Target="http://www.sec.gov/Archives/edgar/data/69891/000095014409002138/g18059exv10w2.htm" TargetMode="External"/><Relationship Id="rId78" Type="http://schemas.openxmlformats.org/officeDocument/2006/relationships/hyperlink" Target="http://www.sec.gov/Archives/edgar/data/69891/000143774913002477/ex10-1.htm" TargetMode="External"/><Relationship Id="rId79" Type="http://schemas.openxmlformats.org/officeDocument/2006/relationships/hyperlink" Target="http://www.sec.gov/Archives/edgar/data/69891/000143774915017094/ex10-1.htm" TargetMode="External"/><Relationship Id="rId80" Type="http://schemas.openxmlformats.org/officeDocument/2006/relationships/hyperlink" Target="http://www.sec.gov/Archives/edgar/data/69891/000143774915017094/ex10-2.htm" TargetMode="External"/><Relationship Id="rId81" Type="http://schemas.openxmlformats.org/officeDocument/2006/relationships/hyperlink" Target="http://www.sec.gov/Archives/edgar/data/69891/000143774917012545/ex10-18.htm" TargetMode="External"/><Relationship Id="rId82" Type="http://schemas.openxmlformats.org/officeDocument/2006/relationships/hyperlink" Target="http://www.sec.gov/Archives/edgar/data/69891/000143774917020312/ex_1013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2019-12-28T21:41:21Z</dcterms:created>
  <dcterms:modified xsi:type="dcterms:W3CDTF">2019-12-28T21:41:21Z</dcterms:modified>
</cp:coreProperties>
</file>