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ind w:left="3860" w:right="2320" w:hanging="1987"/>
        <w:spacing w:after="0" w:line="261" w:lineRule="auto"/>
        <w:tabs>
          <w:tab w:leader="none" w:pos="25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January 31, 2026</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4400" w:right="2280" w:hanging="2525"/>
        <w:spacing w:after="0" w:line="485" w:lineRule="auto"/>
        <w:tabs>
          <w:tab w:leader="none" w:pos="252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1-14170</w:t>
      </w:r>
    </w:p>
    <w:tbl>
      <w:tblPr>
        <w:tblLayout w:type="fixed"/>
        <w:tblInd w:w="198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4"/>
          </w:tcPr>
          <w:p>
            <w:pPr>
              <w:jc w:val="center"/>
              <w:ind w:right="2560"/>
              <w:spacing w:after="0" w:line="235" w:lineRule="exact"/>
              <w:rPr>
                <w:sz w:val="20"/>
                <w:szCs w:val="20"/>
                <w:color w:val="auto"/>
              </w:rPr>
            </w:pPr>
            <w:r>
              <w:rPr>
                <w:rFonts w:ascii="Times New Roman" w:cs="Times New Roman" w:eastAsia="Times New Roman" w:hAnsi="Times New Roman"/>
                <w:sz w:val="22"/>
                <w:szCs w:val="22"/>
                <w:b w:val="1"/>
                <w:bCs w:val="1"/>
                <w:color w:val="auto"/>
                <w:w w:val="97"/>
              </w:rPr>
              <w:t>NATIONAL BEVERAGE CORP.</w:t>
            </w: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20" w:type="dxa"/>
            <w:vAlign w:val="bottom"/>
            <w:gridSpan w:val="5"/>
          </w:tcPr>
          <w:p>
            <w:pPr>
              <w:jc w:val="center"/>
              <w:ind w:right="22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91"/>
        </w:trPr>
        <w:tc>
          <w:tcPr>
            <w:tcW w:w="500" w:type="dxa"/>
            <w:vAlign w:val="bottom"/>
          </w:tcPr>
          <w:p>
            <w:pPr>
              <w:spacing w:after="0"/>
              <w:rPr>
                <w:sz w:val="24"/>
                <w:szCs w:val="24"/>
                <w:color w:val="auto"/>
              </w:rPr>
            </w:pPr>
          </w:p>
        </w:tc>
        <w:tc>
          <w:tcPr>
            <w:tcW w:w="12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Delaware</w:t>
            </w:r>
          </w:p>
        </w:tc>
        <w:tc>
          <w:tcPr>
            <w:tcW w:w="60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59-2605822</w:t>
            </w:r>
          </w:p>
        </w:tc>
      </w:tr>
      <w:tr>
        <w:trPr>
          <w:trHeight w:val="20"/>
        </w:trPr>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7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340" w:type="dxa"/>
            <w:vAlign w:val="bottom"/>
          </w:tcPr>
          <w:p>
            <w:pPr>
              <w:spacing w:after="0"/>
              <w:rPr>
                <w:sz w:val="20"/>
                <w:szCs w:val="20"/>
                <w:color w:val="auto"/>
              </w:rPr>
            </w:pPr>
          </w:p>
        </w:tc>
        <w:tc>
          <w:tcPr>
            <w:tcW w:w="5680" w:type="dxa"/>
            <w:vAlign w:val="bottom"/>
            <w:gridSpan w:val="4"/>
          </w:tcPr>
          <w:p>
            <w:pPr>
              <w:jc w:val="center"/>
              <w:ind w:left="2961"/>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8050 SW Tenth Street, Suite 4000, Fort Lauderdale, FL 33324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(954) 581-0922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4"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6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46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7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FIZZ</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0" w:lineRule="exact"/>
        <w:rPr>
          <w:sz w:val="24"/>
          <w:szCs w:val="24"/>
          <w:color w:val="auto"/>
        </w:rPr>
      </w:pPr>
    </w:p>
    <w:p>
      <w:pPr>
        <w:spacing w:after="0" w:line="21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as of March 9, 2026 was 93,632,102.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0"/>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NATIONAL BEVERAGE CORP.</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0" w:type="dxa"/>
            <w:vAlign w:val="bottom"/>
            <w:gridSpan w:val="13"/>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920" w:type="dxa"/>
            <w:vAlign w:val="bottom"/>
            <w:gridSpan w:val="9"/>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34"/>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20" w:type="dxa"/>
            <w:vAlign w:val="bottom"/>
            <w:gridSpan w:val="12"/>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3120" w:type="dxa"/>
            <w:vAlign w:val="bottom"/>
            <w:tcBorders>
              <w:top w:val="single" w:sz="8" w:color="0000EE"/>
            </w:tcBorders>
            <w:gridSpan w:val="7"/>
          </w:tcPr>
          <w:p>
            <w:pPr>
              <w:spacing w:after="0"/>
              <w:rPr>
                <w:sz w:val="24"/>
                <w:szCs w:val="24"/>
                <w:color w:val="auto"/>
              </w:rPr>
            </w:pPr>
          </w:p>
        </w:tc>
        <w:tc>
          <w:tcPr>
            <w:tcW w:w="3600" w:type="dxa"/>
            <w:vAlign w:val="bottom"/>
            <w:gridSpan w:val="5"/>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58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January 31, 2026 and May 3, 2025</w:t>
            </w:r>
          </w:p>
        </w:tc>
        <w:tc>
          <w:tcPr>
            <w:tcW w:w="4740" w:type="dxa"/>
            <w:vAlign w:val="bottom"/>
            <w:gridSpan w:val="8"/>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95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for the Three and Nine Fiscal Months Ended January 31, 2026 and January 25, 2025</w:t>
            </w:r>
          </w:p>
        </w:tc>
        <w:tc>
          <w:tcPr>
            <w:tcW w:w="1080" w:type="dxa"/>
            <w:vAlign w:val="bottom"/>
            <w:gridSpan w:val="3"/>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06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Nine Fiscal Months Ended January 31, 2026 and January 25,</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196"/>
        </w:trPr>
        <w:tc>
          <w:tcPr>
            <w:tcW w:w="1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2025</w:t>
            </w:r>
          </w:p>
        </w:tc>
        <w:tc>
          <w:tcPr>
            <w:tcW w:w="1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412"/>
        </w:trPr>
        <w:tc>
          <w:tcPr>
            <w:tcW w:w="160" w:type="dxa"/>
            <w:vAlign w:val="bottom"/>
          </w:tcPr>
          <w:p>
            <w:pPr>
              <w:spacing w:after="0"/>
              <w:rPr>
                <w:sz w:val="24"/>
                <w:szCs w:val="24"/>
                <w:color w:val="auto"/>
              </w:rPr>
            </w:pPr>
          </w:p>
        </w:tc>
        <w:tc>
          <w:tcPr>
            <w:tcW w:w="105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Shareholders’ Equity for the Three and Nine Fiscal Months Ended January 31, 2026 and January 25, 2025</w:t>
            </w:r>
          </w:p>
        </w:tc>
        <w:tc>
          <w:tcPr>
            <w:tcW w:w="10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90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Fiscal Months Ended January 31, 2026 and January 25, 2025</w:t>
            </w:r>
          </w:p>
        </w:tc>
        <w:tc>
          <w:tcPr>
            <w:tcW w:w="14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90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540" w:type="dxa"/>
            <w:vAlign w:val="bottom"/>
            <w:gridSpan w:val="4"/>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70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760" w:type="dxa"/>
            <w:vAlign w:val="bottom"/>
            <w:gridSpan w:val="7"/>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r>
      <w:tr>
        <w:trPr>
          <w:trHeight w:val="412"/>
        </w:trPr>
        <w:tc>
          <w:tcPr>
            <w:tcW w:w="107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16</w:t>
            </w:r>
          </w:p>
        </w:tc>
      </w:tr>
      <w:tr>
        <w:trPr>
          <w:trHeight w:val="412"/>
        </w:trPr>
        <w:tc>
          <w:tcPr>
            <w:tcW w:w="48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920" w:type="dxa"/>
            <w:vAlign w:val="bottom"/>
            <w:gridSpan w:val="9"/>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16</w:t>
            </w:r>
          </w:p>
        </w:tc>
      </w:tr>
      <w:tr>
        <w:trPr>
          <w:trHeight w:val="412"/>
        </w:trPr>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374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1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9180" w:type="dxa"/>
            <w:vAlign w:val="bottom"/>
            <w:gridSpan w:val="16"/>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18</w:t>
            </w:r>
          </w:p>
        </w:tc>
      </w:tr>
      <w:tr>
        <w:trPr>
          <w:trHeight w:val="412"/>
        </w:trPr>
        <w:tc>
          <w:tcPr>
            <w:tcW w:w="18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8900" w:type="dxa"/>
            <w:vAlign w:val="bottom"/>
            <w:gridSpan w:val="15"/>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18</w:t>
            </w:r>
          </w:p>
        </w:tc>
      </w:tr>
      <w:tr>
        <w:trPr>
          <w:trHeight w:val="412"/>
        </w:trPr>
        <w:tc>
          <w:tcPr>
            <w:tcW w:w="107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Signature</w:t>
            </w:r>
          </w:p>
        </w:tc>
        <w:tc>
          <w:tcPr>
            <w:tcW w:w="460" w:type="dxa"/>
            <w:vAlign w:val="bottom"/>
            <w:tcBorders>
              <w:top w:val="single" w:sz="8" w:color="0000EE"/>
            </w:tcBorders>
          </w:tcPr>
          <w:p>
            <w:pPr>
              <w:spacing w:after="0"/>
              <w:rPr>
                <w:sz w:val="24"/>
                <w:szCs w:val="24"/>
                <w:color w:val="auto"/>
              </w:rPr>
            </w:pPr>
          </w:p>
        </w:tc>
        <w:tc>
          <w:tcPr>
            <w:tcW w:w="9620" w:type="dxa"/>
            <w:vAlign w:val="bottom"/>
            <w:gridSpan w:val="18"/>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r>
        <w:trPr>
          <w:trHeight w:val="453"/>
        </w:trPr>
        <w:tc>
          <w:tcPr>
            <w:tcW w:w="6040" w:type="dxa"/>
            <w:vAlign w:val="bottom"/>
            <w:gridSpan w:val="14"/>
          </w:tcPr>
          <w:p>
            <w:pPr>
              <w:jc w:val="center"/>
              <w:ind w:left="5110"/>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January 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May 3,</w:t>
            </w:r>
          </w:p>
        </w:tc>
      </w:tr>
      <w:tr>
        <w:trPr>
          <w:trHeight w:val="234"/>
        </w:trPr>
        <w:tc>
          <w:tcPr>
            <w:tcW w:w="80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313,973</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97,431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104,157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85,109</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23,827</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538,037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174,375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5,300</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66,860</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14,533</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23,010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57,591</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7,758</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- 1,000,000 shares authorized Series C - 150,000 shares issued</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- 200,000,000 shares authorized; 102,006,214 and 101,994,358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561,082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417,750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 at cost: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C preferred stock - 150,000 shares</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(5,100)</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- 8,394,112 and 8,374,112 shares, respectively</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(19,133)</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591,062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443,999</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792,471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120" w:type="dxa"/>
            <w:vAlign w:val="bottom"/>
          </w:tcPr>
          <w:p>
            <w:pPr>
              <w:spacing w:after="0"/>
              <w:rPr>
                <w:sz w:val="20"/>
                <w:szCs w:val="20"/>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Nine Fiscal Months Ended</w:t>
            </w:r>
          </w:p>
        </w:tc>
      </w:tr>
      <w:tr>
        <w:trPr>
          <w:trHeight w:val="205"/>
        </w:trPr>
        <w:tc>
          <w:tcPr>
            <w:tcW w:w="59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00"/>
              <w:spacing w:after="0" w:line="205" w:lineRule="exact"/>
              <w:rPr>
                <w:sz w:val="20"/>
                <w:szCs w:val="20"/>
                <w:color w:val="auto"/>
              </w:rPr>
            </w:pPr>
            <w:r>
              <w:rPr>
                <w:rFonts w:ascii="Times New Roman" w:cs="Times New Roman" w:eastAsia="Times New Roman" w:hAnsi="Times New Roman"/>
                <w:sz w:val="18"/>
                <w:szCs w:val="18"/>
                <w:color w:val="auto"/>
              </w:rPr>
              <w:t>January 31,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January 25,</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40"/>
              <w:spacing w:after="0" w:line="205" w:lineRule="exact"/>
              <w:rPr>
                <w:sz w:val="20"/>
                <w:szCs w:val="20"/>
                <w:color w:val="auto"/>
              </w:rPr>
            </w:pPr>
            <w:r>
              <w:rPr>
                <w:rFonts w:ascii="Times New Roman" w:cs="Times New Roman" w:eastAsia="Times New Roman" w:hAnsi="Times New Roman"/>
                <w:sz w:val="18"/>
                <w:szCs w:val="18"/>
                <w:color w:val="auto"/>
              </w:rPr>
              <w:t>January 31,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January 25,</w:t>
            </w: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264,586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267,050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883,432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887,725</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164,982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168,100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549,179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556,992</w:t>
            </w:r>
          </w:p>
        </w:tc>
      </w:tr>
      <w:tr>
        <w:trPr>
          <w:trHeight w:val="210"/>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99,604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334,253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330,733</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48,458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48,373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154,285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152,774</w:t>
            </w:r>
          </w:p>
        </w:tc>
      </w:tr>
      <w:tr>
        <w:trPr>
          <w:trHeight w:val="209"/>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51,146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177,959</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7,474</w:t>
            </w:r>
          </w:p>
        </w:tc>
      </w:tr>
      <w:tr>
        <w:trPr>
          <w:trHeight w:val="209"/>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53,939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187,653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185,433</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12,731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12,332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44,321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43,373</w:t>
            </w:r>
          </w:p>
        </w:tc>
      </w:tr>
      <w:tr>
        <w:trPr>
          <w:trHeight w:val="209"/>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142,060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196"/>
        </w:trPr>
        <w:tc>
          <w:tcPr>
            <w:tcW w:w="598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93,612</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93,617</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93,619</w:t>
            </w: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93,603</w:t>
            </w:r>
          </w:p>
        </w:tc>
      </w:tr>
      <w:tr>
        <w:trPr>
          <w:trHeight w:val="197"/>
        </w:trPr>
        <w:tc>
          <w:tcPr>
            <w:tcW w:w="598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93,645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93,691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93,676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120" w:type="dxa"/>
            <w:vAlign w:val="bottom"/>
          </w:tcPr>
          <w:p>
            <w:pPr>
              <w:spacing w:after="0"/>
              <w:rPr>
                <w:sz w:val="20"/>
                <w:szCs w:val="20"/>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Nine Fiscal Months Ended</w:t>
            </w: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80"/>
              <w:spacing w:after="0" w:line="205" w:lineRule="exact"/>
              <w:rPr>
                <w:sz w:val="20"/>
                <w:szCs w:val="20"/>
                <w:color w:val="auto"/>
              </w:rPr>
            </w:pPr>
            <w:r>
              <w:rPr>
                <w:rFonts w:ascii="Times New Roman" w:cs="Times New Roman" w:eastAsia="Times New Roman" w:hAnsi="Times New Roman"/>
                <w:sz w:val="18"/>
                <w:szCs w:val="18"/>
                <w:color w:val="auto"/>
              </w:rPr>
              <w:t>January 31,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January 25,</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205" w:lineRule="exact"/>
              <w:rPr>
                <w:sz w:val="20"/>
                <w:szCs w:val="20"/>
                <w:color w:val="auto"/>
              </w:rPr>
            </w:pPr>
            <w:r>
              <w:rPr>
                <w:rFonts w:ascii="Times New Roman" w:cs="Times New Roman" w:eastAsia="Times New Roman" w:hAnsi="Times New Roman"/>
                <w:sz w:val="18"/>
                <w:szCs w:val="18"/>
                <w:color w:val="auto"/>
              </w:rPr>
              <w:t>January 31,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January 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142,060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 hedges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39,707</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147,142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Nine Fiscal Months Ended</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20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January 31, 2026</w:t>
            </w:r>
          </w:p>
        </w:tc>
        <w:tc>
          <w:tcPr>
            <w:tcW w:w="170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January 25, 2025</w:t>
            </w:r>
          </w:p>
        </w:tc>
        <w:tc>
          <w:tcPr>
            <w:tcW w:w="220" w:type="dxa"/>
            <w:vAlign w:val="bottom"/>
          </w:tcPr>
          <w:p>
            <w:pPr>
              <w:spacing w:after="0"/>
              <w:rPr>
                <w:sz w:val="19"/>
                <w:szCs w:val="19"/>
                <w:color w:val="auto"/>
              </w:rPr>
            </w:pPr>
          </w:p>
        </w:tc>
        <w:tc>
          <w:tcPr>
            <w:tcW w:w="1980" w:type="dxa"/>
            <w:vAlign w:val="bottom"/>
            <w:gridSpan w:val="6"/>
          </w:tcPr>
          <w:p>
            <w:pPr>
              <w:jc w:val="right"/>
              <w:ind w:right="401"/>
              <w:spacing w:after="0"/>
              <w:rPr>
                <w:sz w:val="20"/>
                <w:szCs w:val="20"/>
                <w:color w:val="auto"/>
              </w:rPr>
            </w:pPr>
            <w:r>
              <w:rPr>
                <w:rFonts w:ascii="Times New Roman" w:cs="Times New Roman" w:eastAsia="Times New Roman" w:hAnsi="Times New Roman"/>
                <w:sz w:val="18"/>
                <w:szCs w:val="18"/>
                <w:color w:val="auto"/>
              </w:rPr>
              <w:t>January 31, 2026</w:t>
            </w:r>
          </w:p>
        </w:tc>
        <w:tc>
          <w:tcPr>
            <w:tcW w:w="176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January 25, 2025</w:t>
            </w:r>
          </w:p>
        </w:tc>
        <w:tc>
          <w:tcPr>
            <w:tcW w:w="100" w:type="dxa"/>
            <w:vAlign w:val="bottom"/>
          </w:tcPr>
          <w:p>
            <w:pPr>
              <w:spacing w:after="0"/>
              <w:rPr>
                <w:sz w:val="19"/>
                <w:szCs w:val="19"/>
                <w:color w:val="auto"/>
              </w:rPr>
            </w:pPr>
          </w:p>
        </w:tc>
      </w:tr>
      <w:tr>
        <w:trPr>
          <w:trHeight w:val="223"/>
        </w:trPr>
        <w:tc>
          <w:tcPr>
            <w:tcW w:w="3280" w:type="dxa"/>
            <w:vAlign w:val="bottom"/>
          </w:tcPr>
          <w:p>
            <w:pPr>
              <w:spacing w:after="0"/>
              <w:rPr>
                <w:sz w:val="19"/>
                <w:szCs w:val="19"/>
                <w:color w:val="auto"/>
              </w:rPr>
            </w:pPr>
          </w:p>
        </w:tc>
        <w:tc>
          <w:tcPr>
            <w:tcW w:w="8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4"/>
              </w:rPr>
              <w:t>Amount</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Pr>
          <w:p>
            <w:pPr>
              <w:spacing w:after="0"/>
              <w:rPr>
                <w:sz w:val="19"/>
                <w:szCs w:val="19"/>
                <w:color w:val="auto"/>
              </w:rPr>
            </w:pPr>
          </w:p>
        </w:tc>
        <w:tc>
          <w:tcPr>
            <w:tcW w:w="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100" w:type="dxa"/>
            <w:vAlign w:val="bottom"/>
          </w:tcPr>
          <w:p>
            <w:pPr>
              <w:spacing w:after="0"/>
              <w:rPr>
                <w:sz w:val="19"/>
                <w:szCs w:val="19"/>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C Preferred Stock</w:t>
            </w: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r>
      <w:tr>
        <w:trPr>
          <w:trHeight w:val="209"/>
        </w:trPr>
        <w:tc>
          <w:tcPr>
            <w:tcW w:w="3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102,006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101,994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44,206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43,355</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43,708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42,588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154</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343</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465</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43,567</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519,874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333,346</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417,750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535,077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41,208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39,643</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143,332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142,060</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cash dividend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(304,148)</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561,082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372,989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561,082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10,915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6,506</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5,604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4,911</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237</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3,810</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1,832</w:t>
            </w:r>
          </w:p>
        </w:tc>
      </w:tr>
      <w:tr>
        <w:trPr>
          <w:trHeight w:val="210"/>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tcBorders>
              <w:bottom w:val="single" w:sz="8" w:color="CCEEFF"/>
            </w:tcBorders>
          </w:tcPr>
          <w:p>
            <w:pPr>
              <w:spacing w:after="0"/>
              <w:rPr>
                <w:sz w:val="18"/>
                <w:szCs w:val="18"/>
                <w:color w:val="auto"/>
              </w:rPr>
            </w:pPr>
          </w:p>
        </w:tc>
      </w:tr>
      <w:tr>
        <w:trPr>
          <w:trHeight w:val="210"/>
        </w:trPr>
        <w:tc>
          <w:tcPr>
            <w:tcW w:w="3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Treasury Stock - Series C Preferred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(5,100)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10"/>
        </w:trPr>
        <w:tc>
          <w:tcPr>
            <w:tcW w:w="3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Treasury Stock - Common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(19,806)</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(19,133)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(19,133)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22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3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591,062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400,236</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591,062</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400,236</w:t>
            </w:r>
          </w:p>
        </w:tc>
      </w:tr>
      <w:tr>
        <w:trPr>
          <w:trHeight w:val="20"/>
        </w:trPr>
        <w:tc>
          <w:tcPr>
            <w:tcW w:w="4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color w:val="auto"/>
              </w:rPr>
              <w:t>Nine Fiscal Months Ended</w:t>
            </w:r>
          </w:p>
        </w:tc>
      </w:tr>
      <w:tr>
        <w:trPr>
          <w:trHeight w:val="205"/>
        </w:trPr>
        <w:tc>
          <w:tcPr>
            <w:tcW w:w="80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361"/>
              <w:spacing w:after="0" w:line="205" w:lineRule="exact"/>
              <w:rPr>
                <w:sz w:val="20"/>
                <w:szCs w:val="20"/>
                <w:color w:val="auto"/>
              </w:rPr>
            </w:pPr>
            <w:r>
              <w:rPr>
                <w:rFonts w:ascii="Times New Roman" w:cs="Times New Roman" w:eastAsia="Times New Roman" w:hAnsi="Times New Roman"/>
                <w:sz w:val="18"/>
                <w:szCs w:val="18"/>
                <w:color w:val="auto"/>
              </w:rPr>
              <w:t>January 31,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30"/>
              <w:spacing w:after="0" w:line="205" w:lineRule="exact"/>
              <w:rPr>
                <w:sz w:val="20"/>
                <w:szCs w:val="20"/>
                <w:color w:val="auto"/>
              </w:rPr>
            </w:pPr>
            <w:r>
              <w:rPr>
                <w:rFonts w:ascii="Times New Roman" w:cs="Times New Roman" w:eastAsia="Times New Roman" w:hAnsi="Times New Roman"/>
                <w:sz w:val="18"/>
                <w:szCs w:val="18"/>
                <w:color w:val="auto"/>
              </w:rPr>
              <w:t>January 25,</w:t>
            </w:r>
          </w:p>
        </w:tc>
        <w:tc>
          <w:tcPr>
            <w:tcW w:w="100" w:type="dxa"/>
            <w:vAlign w:val="bottom"/>
          </w:tcPr>
          <w:p>
            <w:pPr>
              <w:spacing w:after="0"/>
              <w:rPr>
                <w:sz w:val="17"/>
                <w:szCs w:val="17"/>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143,332</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142,060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16,600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15,317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11,542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10,786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Trade receivables</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6,726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11,934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3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146,621</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(20,815)</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00" w:type="dxa"/>
            <w:vAlign w:val="bottom"/>
          </w:tcPr>
          <w:p>
            <w:pPr>
              <w:spacing w:after="0"/>
              <w:rPr>
                <w:sz w:val="19"/>
                <w:szCs w:val="19"/>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00" w:type="dxa"/>
            <w:vAlign w:val="bottom"/>
          </w:tcPr>
          <w:p>
            <w:pPr>
              <w:spacing w:after="0"/>
              <w:rPr>
                <w:sz w:val="19"/>
                <w:szCs w:val="19"/>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(304,148)</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120,138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(177,825)</w:t>
            </w: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193,835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327,047</w:t>
            </w:r>
          </w:p>
        </w:tc>
      </w:tr>
      <w:tr>
        <w:trPr>
          <w:trHeight w:val="209"/>
        </w:trPr>
        <w:tc>
          <w:tcPr>
            <w:tcW w:w="8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313,973</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149,222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r>
      <w:tr>
        <w:trPr>
          <w:trHeight w:val="197"/>
        </w:trPr>
        <w:tc>
          <w:tcPr>
            <w:tcW w:w="8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46,501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1,780</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11,125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 Beverage Corp. develops, produces, markets and sells a distinctive portfolio of sparkling waters, juices, energy drinks and carbonated soft drinks primarily in the United States. Incorporated in Delaware in 1985, National Beverage Corp. is a holding company for various operating subsidiaries. When used in this report, the terms “we,” “us,” “our,” “Company” and “National Beverage” mean National Beverage Corp. and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National Beverage Corp. and its subsidiaries. All significant intercompany transactions and accounts have been eliminated.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United States Generally Accepted Accounting Principles and rules and regulations of the Securities and Exchange Commission for interim financial reporting. Accordingly, they do not include all information and notes presented in the annual consolidated financial statements. The condensed consolidated financial statements should be read in conjunction with the annual consolidated financial statements and accompanying notes included in our Annual Report on Form 10-K for the fiscal year ended May 3, 2025. The accounting policies used in these interim unaudited condensed consolidated financial statements are consistent with those used in the annual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a single operating segment for purposes of presenting financial information and evaluating performance. As such, the accompanying consolidated financial statements present financial information in a format that is consistent with the internal financial information used by management. See Note 7- Segment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amounts reported in the interim unaudited condensed consolidated financial statements and accompanying notes. Actual results could differ from those estimates. In our opinion, all adjustments (consisting of normal recurring adjustments) considered necessary for a fair presentation have been included. Results for the interim periods presented are not necessarily indicative of results which might be expected for the entire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carrying values of the Company’s financial instruments, including cash and cash equivalents, accounts receivable and accounts payable, approximate fair value due to the relatively short maturity of the respective instruments. As of January 31, 2026 and May 3, 2025, cash and cash equivalents included money-market instruments of $166.4 million and $109.1 million, respectively. These financial instruments are Level 1 as defined by the fair value hierarchy since they are based on quoted prices in active markets for identical assets and liabilities. Derivative financial instruments which are used to partially mitigate the Company’s exposure to changes in certain raw material costs are recorded at fair value. Derivative financial instruments are not used for trading or speculative purposes. Credit risk related to derivative financial instruments is managed by requiring high credit standards for counterparties and frequent cash settlements. The estimated fair values of derivative financial instruments are calculated based on market rates to settle the instruments. See Note 5-Derivative Financial Instruments.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estimated allowances for credit losses as of both January 31, 2026 and May 3, 2025 were $1.2 million. The Company’s trade receivable, net balances as of January 25, 2025 and April 27, 2024 were $90.9 million and $102.8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Inventories are stated at the lower of first-in, first-out cost or net realizable value. Adjustments, if required, to reduce the cost of the inventory to net realizable value are made for estimated excess, obsolete or impaired balances. Inventories at January 31, 2026 were comprised of finished goods of $58.5 million and raw materials of $37.6 million. Inventories at May 3, 2025 were comprised of finished goods of $44.0 million and raw materials of $41.1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Shipping and handling costs are reported in selling, general and administrative expenses in the accompanying condensed consolidated statements of income. Such costs were $17.8 million and $17.5 million for the three fiscal months ended January 31, 2026 and January 25, 2025, respectively. Shipping and handling costs were $55.9 million and $55.5 million for the nine fiscal months ended January 31, 2026 and January 25, 2025, respectively. Although our classification is consistent with many beverage companies, our gross margin may not be comparable to companies that include shipping and handling costs in cost of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Costs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utilizes a variety of marketing programs, including cooperative advertising programs with customers, to advertise and promote its beverages to consumers. Marketing costs are expensed when incurred, except for prepaid advertising and production costs, which are expensed when the advertising takes place. Marketing costs, which are included in selling, general and administrative expenses, were $10.0 million and $10.1 million for the three fiscal months ended January 31, 2026 and January 25, 2025, respectively. Marketing costs were $34.6 million and $33.2 million for the nine fiscal months ended January 31, 2026 and January 25,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earnings per common share is computed by dividing earnings available to common shareholders by the weighted average number of common shares outstanding during the period. Diluted earnings per common share is calculated in a similar manner, but includes the dilutive effect of stock options that amounted to 33,000 and 74,000 shares for the three fiscal months ended January 31, 2026 and January 25, 2025, respectively. The dilutive effect of stock options amounted to 57,000 and 82,000 shares for the nine fiscal months ended January 31, 2026 and January 25,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disclosure of specific categories in the rate reconciliation, including additional information for reconciling items that meet a quantitative threshold and specific disaggregation of income taxes paid and tax expense. The amendment is effective for annual reporting periods beginning after December 15, 2024. The Company will adopt ASU 2023-09 on a prospective basis and anticipates the adoption will not have a material effect on its consolidated financial statements for its fiscal year ended May 2,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entities to disaggregate operating expenses into specific categories such as employee compensation, depreciation and intangible asset amortization, by relevant expense caption on the statement of operations. The standard is effective for annual reporting periods beginning after December 15, 2026, and interim periods within annual reporting periods beginning after December 15, 2027. Early adoption is permitted on either a prospective or retrospective basis. The Company is currently evaluating the impact of adopting ASU 2024-03 on its consolidated financial statements and related disclosures.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requires disclosure of the election of a practical expedient that assumes that current conditions as of the balance sheet date do not change for the remaining life of the asset when estimating expected credit losses. The election of the practical expedient is permitted on a prospective basis. The amendment is effective for annual reporting periods beginning after December 15, 2025, and interim reporting periods within those annual reporting periods. The Company does not expect a material impact upon adoption.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PROPERTY, PLANT AND EQUIPMENT, NET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6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January 31,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9,835</w:t>
            </w:r>
          </w:p>
        </w:tc>
      </w:tr>
      <w:tr>
        <w:trPr>
          <w:trHeight w:val="216"/>
        </w:trPr>
        <w:tc>
          <w:tcPr>
            <w:tcW w:w="1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81,764</w:t>
            </w:r>
          </w:p>
        </w:tc>
      </w:tr>
      <w:tr>
        <w:trPr>
          <w:trHeight w:val="216"/>
        </w:trPr>
        <w:tc>
          <w:tcPr>
            <w:tcW w:w="1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328,172</w:t>
            </w:r>
          </w:p>
        </w:tc>
      </w:tr>
      <w:tr>
        <w:trPr>
          <w:trHeight w:val="20"/>
        </w:trPr>
        <w:tc>
          <w:tcPr>
            <w:tcW w:w="16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419,771</w:t>
            </w:r>
          </w:p>
        </w:tc>
      </w:tr>
      <w:tr>
        <w:trPr>
          <w:trHeight w:val="216"/>
        </w:trPr>
        <w:tc>
          <w:tcPr>
            <w:tcW w:w="1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(260,102)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(244,185)</w:t>
            </w:r>
          </w:p>
        </w:tc>
      </w:tr>
      <w:tr>
        <w:trPr>
          <w:trHeight w:val="20"/>
        </w:trPr>
        <w:tc>
          <w:tcPr>
            <w:tcW w:w="16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174,375</w:t>
            </w:r>
          </w:p>
        </w:tc>
        <w:tc>
          <w:tcPr>
            <w:tcW w:w="140" w:type="dxa"/>
            <w:vAlign w:val="bottom"/>
          </w:tcPr>
          <w:p>
            <w:pPr>
              <w:spacing w:after="0"/>
              <w:rPr>
                <w:sz w:val="18"/>
                <w:szCs w:val="18"/>
                <w:color w:val="auto"/>
              </w:rPr>
            </w:pP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175,586</w:t>
            </w:r>
          </w:p>
        </w:tc>
      </w:tr>
      <w:tr>
        <w:trPr>
          <w:trHeight w:val="20"/>
        </w:trPr>
        <w:tc>
          <w:tcPr>
            <w:tcW w:w="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Machinery and equipment included construction-in-progress in the amounts of $33.8 million and $37.7 million as of January 31, 2026 and May 3, 2025, respectively. Depreciation expense was $5.6 million and $4.9 million for the three fiscal months ended January 31, 2026 and January 25, 2025, respectively. Depreciation expense was $16.4 million and $15.0 million for the nine fiscal months ended January 31, 2026 and January 25, 2025, respectively. Depreciation expense is recorded in cost of sales and selling, general and administrative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for certain offices, buildings and machinery and equipment which expire at various dates through June 2037. The Company does not assume renewals in the determination of the lease term unless the renewals are deemed to be reasonably assured at lease commencement. Lease agreements generally do not contain material residual value guarantees or material restrictive covenants. Operating lease costs were $4.6 million and $4.2 million for the three fiscal months ended January 31, 2026 and January 25, 2025, respectively. Operating lease costs were $13.8 million and $12.5 million for the nine fiscal months ended January 31, 2026 and January 25, 2025, respectively. As of January 31, 2026, the weighted-average remaining lease term and weighted-average discount rate of operating leases was 5.48 years and 4.57%, respectively. As of May 3, 2025, the weighted-average remaining lease term and weighted average discount rate of operating leases was 5.92 years and 4.52%, respectively. Cash payments were $4.3 million and $3.9 million for operating leases for the three fiscal months ended January 31, 2026 and January 25, 2025, respectively. Cash payments were $13.5 million and $12.3 million for operating leases for the nine fiscal months ended January 31, 2026 and January 25, 2025,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future minimum lease payments and related liabilities for all non-cancelable operating leases as of January 31, 2026:</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9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 Remaining quarter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16,734</w:t>
            </w:r>
          </w:p>
        </w:tc>
      </w:tr>
      <w:tr>
        <w:trPr>
          <w:trHeight w:val="21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11,935</w:t>
            </w:r>
          </w:p>
        </w:tc>
      </w:tr>
      <w:tr>
        <w:trPr>
          <w:trHeight w:val="216"/>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10,800</w:t>
            </w:r>
          </w:p>
        </w:tc>
      </w:tr>
      <w:tr>
        <w:trPr>
          <w:trHeight w:val="21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10,218</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17,134</w:t>
            </w:r>
          </w:p>
        </w:tc>
      </w:tr>
      <w:tr>
        <w:trPr>
          <w:trHeight w:val="210"/>
        </w:trPr>
        <w:tc>
          <w:tcPr>
            <w:tcW w:w="9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 including interest</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(8,597)</w:t>
            </w:r>
          </w:p>
        </w:tc>
      </w:tr>
      <w:tr>
        <w:trPr>
          <w:trHeight w:val="210"/>
        </w:trPr>
        <w:tc>
          <w:tcPr>
            <w:tcW w:w="9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(14,926)</w:t>
            </w:r>
          </w:p>
        </w:tc>
      </w:tr>
      <w:tr>
        <w:trPr>
          <w:trHeight w:val="223"/>
        </w:trPr>
        <w:tc>
          <w:tcPr>
            <w:tcW w:w="9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January 31, 2026, a subsidiary of the Company maintained unsecured revolving credit facilities with banks aggregating $100 million (the “Credit Facilities”). The Credit Facilities expire from September 10, 2027 to May 30, 2028 and any borrowings would currently bear interest at 1.15% above the Secured Overnight Financing Rate (“SOFR”). There were no borrowings outstanding under the Credit Facilities at January 31, 2026 or May 3, 2025. At January 31, 2026, $2.7 million of the Credit Facilities was reserved for standby letters of credit and $97.3 million was available for borrowings.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subsidiary of the Company also maintains an unsecured revolving term loan facility with a national bank aggregating $50 million (the “Loan Facility”). There were no borrowings outstanding under the Loan Facility at January 31, 2026 or May 3, 2025. The Loan Facility expires December 31, 2027 and borrowings would bear interest at 1.15% above the adjusted daily SOFR.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Facilities and Loan Facility require the subsidiary to maintain certain financial ratios, including debt to net worth and debt to EBITDA (as defined in the credit agreements) and contain other restrictions, none of which are expected to have a material effect on the Company’s operations or financial position. At January 31, 2026, the subsidiary was in compliance with all loan covenants.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aluminum swap contracts to partially mitigate its exposure to changes in the cost of aluminum containers. Such financial instruments are designated and accounted for as cash flow hedges. Accordingly, gains or losses attributable to the effective portion of the cash flow hedge are reported in accumulated other comprehensive income (loss) (“AOCI”) and reclassified into cost of sales in the period in which the hedged transaction affects earnings. The ineffective portion of the change in fair value of our cash flow hedge was immaterial. The following summarizes the gains recognized in the Condensed Consolidated Statements of Income and AOCI:</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120" w:type="dxa"/>
            <w:vAlign w:val="bottom"/>
          </w:tcPr>
          <w:p>
            <w:pPr>
              <w:spacing w:after="0"/>
              <w:rPr>
                <w:sz w:val="19"/>
                <w:szCs w:val="19"/>
                <w:color w:val="auto"/>
              </w:rPr>
            </w:pPr>
          </w:p>
        </w:tc>
        <w:tc>
          <w:tcPr>
            <w:tcW w:w="240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Nine Fiscal Months Ended</w:t>
            </w:r>
          </w:p>
        </w:tc>
        <w:tc>
          <w:tcPr>
            <w:tcW w:w="100" w:type="dxa"/>
            <w:vAlign w:val="bottom"/>
          </w:tcPr>
          <w:p>
            <w:pPr>
              <w:spacing w:after="0"/>
              <w:rPr>
                <w:sz w:val="19"/>
                <w:szCs w:val="19"/>
                <w:color w:val="auto"/>
              </w:rPr>
            </w:pPr>
          </w:p>
        </w:tc>
      </w:tr>
      <w:tr>
        <w:trPr>
          <w:trHeight w:val="191"/>
        </w:trPr>
        <w:tc>
          <w:tcPr>
            <w:tcW w:w="5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321"/>
              <w:spacing w:after="0" w:line="191" w:lineRule="exact"/>
              <w:rPr>
                <w:sz w:val="20"/>
                <w:szCs w:val="20"/>
                <w:color w:val="auto"/>
              </w:rPr>
            </w:pPr>
            <w:r>
              <w:rPr>
                <w:rFonts w:ascii="Times New Roman" w:cs="Times New Roman" w:eastAsia="Times New Roman" w:hAnsi="Times New Roman"/>
                <w:sz w:val="18"/>
                <w:szCs w:val="18"/>
                <w:color w:val="auto"/>
              </w:rPr>
              <w:t>January 31,</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January 25,</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January 31,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January 25,</w:t>
            </w:r>
          </w:p>
        </w:tc>
        <w:tc>
          <w:tcPr>
            <w:tcW w:w="100" w:type="dxa"/>
            <w:vAlign w:val="bottom"/>
          </w:tcPr>
          <w:p>
            <w:pPr>
              <w:spacing w:after="0"/>
              <w:rPr>
                <w:sz w:val="16"/>
                <w:szCs w:val="16"/>
                <w:color w:val="auto"/>
              </w:rPr>
            </w:pPr>
          </w:p>
        </w:tc>
      </w:tr>
      <w:tr>
        <w:trPr>
          <w:trHeight w:val="234"/>
        </w:trPr>
        <w:tc>
          <w:tcPr>
            <w:tcW w:w="5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in AOCI:</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4,927</w:t>
            </w:r>
          </w:p>
        </w:tc>
      </w:tr>
      <w:tr>
        <w:trPr>
          <w:trHeight w:val="23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 provision</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r>
      <w:tr>
        <w:trPr>
          <w:trHeight w:val="209"/>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Borders>
              <w:bottom w:val="single" w:sz="8" w:color="CCEEFF"/>
            </w:tcBorders>
          </w:tcPr>
          <w:p>
            <w:pPr>
              <w:spacing w:after="0"/>
              <w:rPr>
                <w:sz w:val="18"/>
                <w:szCs w:val="18"/>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from AOCI to cost of sales: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before income taxes</w:t>
            </w:r>
          </w:p>
        </w:tc>
        <w:tc>
          <w:tcPr>
            <w:tcW w:w="14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8,496</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2,536</w:t>
            </w:r>
          </w:p>
        </w:tc>
      </w:tr>
      <w:tr>
        <w:trPr>
          <w:trHeight w:val="22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 provision</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2,005</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r>
      <w:tr>
        <w:trPr>
          <w:trHeight w:val="209"/>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CEEFF"/>
            </w:tcBorders>
          </w:tcPr>
          <w:p>
            <w:pPr>
              <w:spacing w:after="0"/>
              <w:rPr>
                <w:sz w:val="18"/>
                <w:szCs w:val="18"/>
                <w:color w:val="auto"/>
              </w:rPr>
            </w:pPr>
          </w:p>
        </w:tc>
      </w:tr>
      <w:tr>
        <w:trPr>
          <w:trHeight w:val="22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to AOCI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the notional amount of our outstanding aluminum swap contracts was $30.9 million and, assuming no change in commodity prices, $11.4 million of unrealized gain before tax will be reclassified from AOCI and recognized in earnings over the next 12 fiscal months. The Company’s policy for the maximum length of time for which it may hedge exposure to the variability of future cash flows is three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not subject to any legally enforceable master netting arrangements and does not offset fair value amounts recognized for derivative instruments. As of January 31, 2026, the fair value of the derivative asset was $11.4 million, which was included in prepaid and other current assets. As of May 3, 2025, the fair value of the derivative asset was $7.4 million, which was included in prepaid and other current assets, and the fair value of the derivative liability was $1.0 million, which was included in accrued liabilities. Such valuation does not entail a significant amount of judgment and the inputs that are significant to the fair value measurement are Level 2 as defined by the fair value hierarchy as they are observable market based inputs or unobservable inputs that are corroborated by market data.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party to a management agreement with Corporate Management Advisors, Inc. (CMA), a corporation owned by our Chairman and Chief Executive Officer. The management agreement provides that the Company will pay CMA an annual base fee equal to one percent of the consolidated net sales of the Company. Management fees to CMA were $2.6 million and $2.7 million for the three fiscal months ended January 31, 2026 and January 25, 2025, respectively. Management fees to CMA were $8.8 million and $8.9 million for the nine fiscal months ended January 31, 2026 and January 25, 2025, respectively. At January 31, 2026 and May 3, 2025, accounts payable included amounts due to CMA of $1.7 million and $2.1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that encompasses the development, production, marketing and sale of beverages. The Company manages its business on a consolidated basis utilizing vertically integrated production facilities and a centralized supply chain infrastructure.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(“CODM”) makes operating decisions, allocates resources and assesses financial performance based primarily upon consolidated operating income and net income as reported in the consolidated statements of income. The CODM also regularly reviews cost of sales, shipping and handling costs, and marketing costs. These costs represent significant segment expenses and are reported elsewhere in the consolidated financial statements. Other segment items include other selling and general administrative costs (primarily consisting of compensation-related and other overhead costs), other income (expense), net which includes interest income and interest expense, and provision for income taxes. Depreciation and amortization expense is reported in the consolidated statements of cash flow.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authorized the Company to repurchase up to 3.2 million shares of its common stock. During the nine fiscal months ended January 31, 2026, the Company repurchased 20,000 shares of its common stock at an average price per share of $33.65 for a total cost of $0.7 million. As of January 31, 2026, 1,333,144 common shares were purchased under the program and 1,866,856 common shares were available for repurchase.</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 Beverage Corp. innovatively refreshes America with a distinctive portfolio of sparkling waters, juices, energy drinks (Power+ Brands) and, to a lesser extent, carbonated soft drinks. We believe our creative product designs, innovative packaging and imaginative flavors, along with our corporate culture and philosophy, make National Beverage unique as a stand-alone entity in the beverage industry.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brands are geared to the active and health-conscious consumer including sparkling waters, energy drinks and juices. Our portfolio of Power+ Brands includes LaCroix® sparkling waters; Clear Fruit® non-carbonated water beverages enhanced with fruit flavor; Rip It® energy drinks and shots; and Everfresh®, Everfresh Premier Varietals™ and Mr. Pure® 100% juice and juice-based products. Additionally, we produce and distribute carbonated soft drinks including Shasta® and Faygo®, iconic brands whose consumer loyalty spans more than 135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seeks the profitable growth of our products by (i) developing healthier beverages in response to the global shift in consumer buying habits and tailoring our beverage portfolio to the preferences of a diverse mix of ‘crossover consumers’ – a growing group desiring a healthier alternative to artificially sweetened and high-caloric beverages; (ii) emphasizing unique flavor development and variety throughout our brands that appeal to multiple demographic groups; (iii) maintaining points of difference through innovative marketing, packaging and consumer engagement and (iv) responding faster and more creatively to changing consumer trends than larger competitors who are burdened by legacy production and distribution complexity and costs.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Presently, our primary market focus is the United States. Certain of our beverages are also distributed on a limited basis in other countries and options to expand distribution to other regions are being pursued. To service a diverse customer base that includes numerous national retailers, as well as thousands of smaller “up-and-down-the-street” accounts, we utilize a hybrid distribution system consisting of warehouse and direct-store delivery. The warehouse delivery system allows our retail partners to further maximize their assets by utilizing their ability to pick up beverages at our warehouses, further lowering their/our product costs.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are affected by numerous factors, including fluctuations in the costs of raw materials, supply chain disruptions, holiday and seasonal programming and weather conditions. Beverage sales are seasonal with higher sales volume realized during the summer months.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920"/>
        <w:spacing w:after="0" w:line="282" w:lineRule="auto"/>
        <w:rPr>
          <w:sz w:val="20"/>
          <w:szCs w:val="20"/>
          <w:color w:val="auto"/>
        </w:rPr>
      </w:pPr>
      <w:r>
        <w:rPr>
          <w:rFonts w:ascii="Times New Roman" w:cs="Times New Roman" w:eastAsia="Times New Roman" w:hAnsi="Times New Roman"/>
          <w:sz w:val="18"/>
          <w:szCs w:val="18"/>
          <w:u w:val="single" w:color="auto"/>
          <w:color w:val="auto"/>
        </w:rPr>
        <w:t>Three Fiscal Months Ended January 31, 2026 (third quarter of fiscal 2026) compared to Three Fiscal Months Ended January 25, 2025 (third quarter of fiscal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fiscal 2026 decreased 0.9% to $264.6 million from $267.1 million for the third quarter of fiscal 2025. The decrease in sales resulted primarily from a 4.8% decrease in case volume, partially offset by a 4.4% increase in average selling price per case. The decrease in case volume impacted both Power + Brands and carbonated soft drink brands.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third quarter of fiscal 2026 increased to $99.6 million from $99.0 million for the third quarter of fiscal 2025 and gross margin increased to 37.6% from 37.1% The increase in gross margin was primarily due to the increase in average selling price per case, partially offset by increased packaging costs and the effects of reduced case volume. The average cost of sales per case increased 3.4%.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third quarter of fiscal 2026 remained constant at $48.4 million for the third quarter of fiscal 2026 and fiscal 2025. As a percentage of net sales, selling, general and administrative expenses increased to 18.3% for the third quarter of fiscal 2026 compared to 18.1% for the third quarter of fiscal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includes interest income of $2.8 million for the third quarter of fiscal 2026 and $1.4 million for the third quarter of fiscal 2025. The increase in interest income is due primarily to increased average invested balances.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based upon estimated annual income tax rates, was 23.6% for the third quarter of fiscal 2026 and 23.7% for the third quarter of fiscal 2025. The difference between the effective rate and the federal statutory rate of 21% was primarily due to the effects of state income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680"/>
        <w:spacing w:after="0" w:line="282" w:lineRule="auto"/>
        <w:rPr>
          <w:sz w:val="20"/>
          <w:szCs w:val="20"/>
          <w:color w:val="auto"/>
        </w:rPr>
      </w:pPr>
      <w:r>
        <w:rPr>
          <w:rFonts w:ascii="Times New Roman" w:cs="Times New Roman" w:eastAsia="Times New Roman" w:hAnsi="Times New Roman"/>
          <w:sz w:val="18"/>
          <w:szCs w:val="18"/>
          <w:u w:val="single" w:color="auto"/>
          <w:color w:val="auto"/>
        </w:rPr>
        <w:t>Nine Fiscal Months Ended January 31, 2026 (first nine months of fiscal 2026) compared to Nine Fiscal Months Ended January 25, 2025 (first nine months of fiscal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first nine months of fiscal 2026 decreased 0.5% to $883.4 million from $887.7 million for the first nine months of fiscal 2025. The decrease in sales resulted primarily from a 4.9% decrease in case volume, partially offset by a 4.7% increase in average selling price per case. The decrease in case volume impacted both Power + Brands and carbonated soft drink brands.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first nine months of fiscal 2026 increased to $334.3 million from $330.7 million for the first nine months of fiscal 2025 and gross margin increased to 37.8% from 37.3%. The increase in gross margin was primarily due to the increase in average selling price per case, partially offset by an increase in packaging and ingredient costs and the effects of reduced case volume. The average cost of sales per case increased 3.7%</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first nine months of fiscal 2026 increased $1.5 million to $154.3 million from $152.8 million for the first nine months of fiscal 2025. The increase was primarily due to an increase in marketing and selling costs. As a percentage of net sales, selling, general and administrative expenses increased to 17.5% for the first nine months of fiscal 2026 compared to 17.2% for the first nine months of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includes interest income of $7.7 million for the first nine months of fiscal 2026 and $7.4 million for the first nine months of fiscal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income is due primarily to increased average invested balances.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based upon estimated annual income tax rates, was 23.6% for the first nine months of fiscal 2026 and 23.4% for the first nine months of fiscal 2025. The difference between the effective rate and the federal statutory rate of 21% was primarily due to the effects of state income taxes.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cash-equivalents, cash generated from operating activities and borrowing capacity. At January 31, 2026, we maintained unsecured revolving Credit Facilities and the Loan Facility totaling $150 million, under which no borrowings were outstanding and $2.7 million was reserved for standby letters of credit. We believe existing capital resources will be sufficient to meet our liquidity and capital requirements for the next twelve months.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cash position increased $120.1 million for the first nine months of fiscal 2026 compared to a decrease of $177.8 million for the first nine months of fiscal 2025 primarily due to the special cash dividend of $304.1 million paid on July 24, 2024.</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nine months of fiscal 2026 was $135.7 million compared to $146.6 million for the first nine months of fiscal 2025. For the first nine months of fiscal 2026, cash flow provided by operating activities decreased primarily due to a net increase in working capital, excluding cash.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first nine months of fiscal 2026 reflects capital expenditures of $15.2 million, compared to capital expenditures of $20.8 million for the first nine months of fiscal 2025. Certain production capacity and efficiency improvement projects are in progress and we anticipate fiscal 2026 capital expenditures will not exceed fiscal 2025 capital spending.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for the first nine months of fiscal 2026 primarily reflects the repurchase of common shares for $0.7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January 31, 2026, working capital increased $149.6 million to $416.0 million from $266.4 million at May 3, 2025. The current ratio was 4.4 to 1 at January 31, 2026 compared to 2.9 to 1 at May 3, 2025. The increase in working capital and current ratio was due primarily to an increase in cash and cash equivalents of $120.1 million, a decrease in accounts payable and accrued liabilities of $19.6 million, and other net working capital increases of $9.8 million. Trade receivables decreased $6.7 million and days sales outstanding increased to 33.5 days from 32.5 days. Inventories increased $11.0 million and inventory turns decreased to 8.3 times from 8.7 times.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market risks from those reported in our Annual Report on Form 10-K for the fiscal year ended May 3,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the Company’s management, including our Chief Executive Officer and Principal Financial Officer, of the effectiveness of the design and operation of our “disclosure controls and procedures” (as defined in Rule 13a-15(e) of the Securities Exchange Act of 1934). Based upon that evaluation, the Chief Executive Officer and Principal Financial Officer concluded that our disclosure controls and procedures were effective to ensure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Principal Financial Officer, to allow timely decisions regarding required disclosure.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National Beverage Corp. and its representatives may make written or oral statements relating to future events or results relative to our financial, operational and business performance, achievements, objectives and strategies. These statements are “forward-looking” within the meaning of the Private Securities Litigation Reform Act of 1995 and include statements contained in this report and other filings with the Securities and Exchange Commission and in reports to our stockholders. Certain statements including, without limitation, statements containing the words “believes,” “anticipates,” “intends,” “plans,” “expects,” “estimates”, “may,” “will,” “should,” “could,” and similar expressions constitute “forward-looking statements” and involve known and unknown risk, uncertainties and other factors that may cause the actual results, performance or achievements of our Company to be materially different from any future results, performance or achievements expressed or implied by such forward looking statements. Such factors include, but are not limited to, the following: general economic and business conditions, pricing of competitive products, success of new product and flavor introductions, fluctuations in the costs and availability of raw materials and packaging supplies, including effects of tariffs, ability to recover cost increases, labor strikes or work stoppages or other interruptions in the employment of labor, continued retailer support for our products, changes in brand image, consumer demand and preferences and our success in creating products geared toward consumers’ tastes, success in implementing business strategies, changes in business strategy or development plans, technology failures or cyberattacks on our technology systems or our effective response to technology failures or cyberattacks on our customers’, suppliers’ or other third parties’ technology systems, government regulations, taxes or fees imposed on the sale of our products, unfavorable weather conditions, changing weather patterns and natural disasters, climate change or legislative or regulatory responses to such change and other factors referenced in this report, filings with the Securities and Exchange Commission and other reports to our stockholders. We disclaim any obligation to update any such factors or to publicly announce the results of any revisions to any forward- looking statements contained herein to reflect future events or developments.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risk factors from those reported in our Annual Report on Form 10-K for the fiscal year ended May 3, 2025.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fiscal months ended January 31, 2026, no director or Section 16 officer adopted, modified, or terminated any “Rule 10b5-1 trading arrangement” or “non-Rule 10b5-1 trading arrangement” (in each case, as defined in Item 408(a) of Regulation S-K).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7380" w:type="dxa"/>
            <w:vAlign w:val="bottom"/>
            <w:gridSpan w:val="4"/>
          </w:tcPr>
          <w:p>
            <w:pPr>
              <w:ind w:left="45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24"/>
                <w:szCs w:val="24"/>
                <w:color w:val="auto"/>
              </w:rPr>
            </w:pPr>
          </w:p>
        </w:tc>
        <w:tc>
          <w:tcPr>
            <w:tcW w:w="7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200" w:type="dxa"/>
            <w:vAlign w:val="bottom"/>
          </w:tcPr>
          <w:p>
            <w:pPr>
              <w:spacing w:after="0"/>
              <w:rPr>
                <w:sz w:val="24"/>
                <w:szCs w:val="24"/>
                <w:color w:val="auto"/>
              </w:rPr>
            </w:pPr>
          </w:p>
        </w:tc>
      </w:tr>
      <w:tr>
        <w:trPr>
          <w:trHeight w:val="412"/>
        </w:trPr>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24"/>
                <w:szCs w:val="24"/>
                <w:color w:val="auto"/>
              </w:rPr>
            </w:pPr>
          </w:p>
        </w:tc>
        <w:tc>
          <w:tcPr>
            <w:tcW w:w="73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 Act of 2002</w:t>
            </w:r>
          </w:p>
        </w:tc>
      </w:tr>
      <w:tr>
        <w:trPr>
          <w:trHeight w:val="412"/>
        </w:trPr>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24"/>
                <w:szCs w:val="24"/>
                <w:color w:val="auto"/>
              </w:rPr>
            </w:pPr>
          </w:p>
        </w:tc>
        <w:tc>
          <w:tcPr>
            <w:tcW w:w="7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c>
          <w:tcPr>
            <w:tcW w:w="200" w:type="dxa"/>
            <w:vAlign w:val="bottom"/>
          </w:tcPr>
          <w:p>
            <w:pPr>
              <w:spacing w:after="0"/>
              <w:rPr>
                <w:sz w:val="24"/>
                <w:szCs w:val="24"/>
                <w:color w:val="auto"/>
              </w:rPr>
            </w:pPr>
          </w:p>
        </w:tc>
      </w:tr>
      <w:tr>
        <w:trPr>
          <w:trHeight w:val="412"/>
        </w:trPr>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24"/>
                <w:szCs w:val="24"/>
                <w:color w:val="auto"/>
              </w:rPr>
            </w:pPr>
          </w:p>
        </w:tc>
        <w:tc>
          <w:tcPr>
            <w:tcW w:w="73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906 of the Sarbanes-Oxley Act of 2002</w:t>
            </w:r>
          </w:p>
        </w:tc>
      </w:tr>
    </w:tbl>
    <w:p>
      <w:pPr>
        <w:spacing w:after="0" w:line="225" w:lineRule="exact"/>
        <w:rPr>
          <w:sz w:val="20"/>
          <w:szCs w:val="20"/>
          <w:color w:val="auto"/>
        </w:rPr>
      </w:pPr>
    </w:p>
    <w:p>
      <w:pPr>
        <w:jc w:val="both"/>
        <w:ind w:left="1360" w:hanging="1028"/>
        <w:spacing w:after="0" w:line="258" w:lineRule="auto"/>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National Beverage Corp. Quarterly Report on Form 10-Q for the quarterly period ended January 31, 2026, formatted in iXBRL (Inline eXtensible Business Reporting Language): (i) Condensed Consolidated Balance Sheets (Unaudited); (ii) Condensed Consolidated Statements of Income (Unaudited); (iii) Condensed Consolidated Statements of Comprehensive Income (Unaudited); (iv) Condensed Consolidated Statements of Shareholders’ Equity (Unaudited); (v) Condensed Consolidated Statements of Cash Flows (Unaudited); and (vi) the Notes to Condensed Consolidated Financial Statements (Unaudited).</w:t>
      </w:r>
    </w:p>
    <w:p>
      <w:pPr>
        <w:spacing w:after="0" w:line="183" w:lineRule="exact"/>
        <w:rPr>
          <w:sz w:val="20"/>
          <w:szCs w:val="20"/>
          <w:color w:val="auto"/>
        </w:rPr>
      </w:pPr>
    </w:p>
    <w:p>
      <w:pPr>
        <w:ind w:left="5540" w:right="3360" w:hanging="5208"/>
        <w:spacing w:after="0" w:line="532" w:lineRule="auto"/>
        <w:tabs>
          <w:tab w:leader="none" w:pos="13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National Beverage Corp.</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jc w:val="right"/>
        <w:ind w:right="3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Nick A. Caporella,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Beverage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26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Nick A. Caporella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A. Caporella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R. Bracken,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Beverage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26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Beverage Corp. (the “Company”) on Form 10-Q for the period ended January 31, 2026 as filed with the Securities and Exchange Commission on the date hereof (the “Report”), I, Nick A. Caporella, Chairman of the Board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8"/>
        <w:spacing w:after="0" w:line="500" w:lineRule="auto"/>
        <w:tabs>
          <w:tab w:leader="none" w:pos="4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12,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Nick A. Caporella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A. Caporella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Beverage Corp. (the “Company”) on Form 10-Q for the period ended January 31, 2026 as filed with the Securities and Exchange Commission on the date hereof (the “Report”), I, George R. Bracken, Executive Vice President - Finance of the Company, certify, pursuant to 18 U.S.C. section 1350, as adopted pursuant to section 906 of the Sarbanes-Oxley Act of 2002, that to my knowledge:</w:t>
      </w:r>
    </w:p>
    <w:p>
      <w:pPr>
        <w:spacing w:after="0" w:line="176"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80" w:firstLine="8"/>
        <w:spacing w:after="0" w:line="500" w:lineRule="auto"/>
        <w:tabs>
          <w:tab w:leader="none" w:pos="4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Date: March 12,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01"/>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2026-03-12T15:46:49Z</dcterms:created>
  <dcterms:modified xsi:type="dcterms:W3CDTF">2026-03-12T15:46:49Z</dcterms:modified>
</cp:coreProperties>
</file>